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38395" w14:textId="75AF78C4" w:rsidR="00833987" w:rsidRPr="00A35AE7" w:rsidRDefault="009323E8" w:rsidP="004C1121">
      <w:pPr>
        <w:spacing w:after="120" w:line="240" w:lineRule="auto"/>
        <w:jc w:val="center"/>
        <w:rPr>
          <w:rFonts w:ascii="Times New Roman" w:hAnsi="Times New Roman" w:cs="Times New Roman"/>
          <w:b/>
          <w:bCs/>
          <w:sz w:val="24"/>
          <w:szCs w:val="24"/>
        </w:rPr>
      </w:pPr>
      <w:r w:rsidRPr="00A35AE7">
        <w:rPr>
          <w:rFonts w:ascii="Times New Roman" w:hAnsi="Times New Roman" w:cs="Times New Roman"/>
          <w:b/>
          <w:bCs/>
          <w:sz w:val="24"/>
          <w:szCs w:val="24"/>
        </w:rPr>
        <w:t>TBMYO</w:t>
      </w:r>
    </w:p>
    <w:p w14:paraId="25379271" w14:textId="75524468" w:rsidR="00D401D3" w:rsidRPr="00A35AE7" w:rsidRDefault="00D401D3" w:rsidP="004C1121">
      <w:pPr>
        <w:spacing w:after="120" w:line="240" w:lineRule="auto"/>
        <w:jc w:val="center"/>
        <w:rPr>
          <w:rFonts w:ascii="Times New Roman" w:hAnsi="Times New Roman" w:cs="Times New Roman"/>
          <w:b/>
          <w:bCs/>
          <w:sz w:val="24"/>
          <w:szCs w:val="24"/>
        </w:rPr>
      </w:pPr>
      <w:r w:rsidRPr="00A35AE7">
        <w:rPr>
          <w:rFonts w:ascii="Times New Roman" w:hAnsi="Times New Roman" w:cs="Times New Roman"/>
          <w:b/>
          <w:bCs/>
          <w:sz w:val="24"/>
          <w:szCs w:val="24"/>
        </w:rPr>
        <w:t>2024 yılı Birim İç Değerlendirme Ara Raporu (BİDR)</w:t>
      </w:r>
    </w:p>
    <w:p w14:paraId="4F8C846A" w14:textId="77777777" w:rsidR="00A474DD" w:rsidRPr="00A35AE7" w:rsidRDefault="00A474DD" w:rsidP="006D1A0D">
      <w:pPr>
        <w:numPr>
          <w:ilvl w:val="0"/>
          <w:numId w:val="1"/>
        </w:num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LİDERLİK, YÖNETİŞİM ve KALİTE</w:t>
      </w:r>
    </w:p>
    <w:p w14:paraId="288198DC" w14:textId="77777777" w:rsidR="00CB4D4F" w:rsidRPr="00A35AE7" w:rsidRDefault="00CB4D4F"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A.1. Liderlik ve Kalite</w:t>
      </w:r>
    </w:p>
    <w:p w14:paraId="0ED1FD7A" w14:textId="77777777" w:rsidR="00CB4D4F" w:rsidRPr="00A35AE7" w:rsidRDefault="00CB4D4F"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 xml:space="preserve">A.1.1. Yönetim modeli ve idari yapı </w:t>
      </w:r>
    </w:p>
    <w:p w14:paraId="28F5E4B9" w14:textId="77777777" w:rsidR="00CB4D4F" w:rsidRPr="00A35AE7" w:rsidRDefault="00CB4D4F" w:rsidP="004C1121">
      <w:pPr>
        <w:spacing w:after="120" w:line="240" w:lineRule="auto"/>
        <w:jc w:val="both"/>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A.1.2. Liderlik</w:t>
      </w:r>
    </w:p>
    <w:p w14:paraId="7C5457E8" w14:textId="77777777" w:rsidR="00CB4D4F" w:rsidRPr="00A35AE7" w:rsidRDefault="00CB4D4F" w:rsidP="004C1121">
      <w:pPr>
        <w:spacing w:after="120" w:line="240" w:lineRule="auto"/>
        <w:jc w:val="both"/>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A.1.3. Kurumsal dönüşüm kapasitesi</w:t>
      </w:r>
    </w:p>
    <w:p w14:paraId="5CC0AE53" w14:textId="77777777" w:rsidR="00A474DD" w:rsidRPr="00A35AE7" w:rsidRDefault="00A474DD"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A.1.4. İç kalite güvencesi mekanizmaları</w:t>
      </w:r>
    </w:p>
    <w:p w14:paraId="1CBC4C6D" w14:textId="15D8DE6B"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A.1.5. Kamuoyunu bilgilendirme ve hesap verebilirlik</w:t>
      </w:r>
    </w:p>
    <w:p w14:paraId="7ECCB1F5"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A.2. Misyon ve Stratejik Amaçlar</w:t>
      </w:r>
    </w:p>
    <w:p w14:paraId="0DD40555"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A.2.1. Misyon, vizyon ve politikalar</w:t>
      </w:r>
    </w:p>
    <w:p w14:paraId="19DD5523"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A.2.2. Stratejik amaç ve hedefler</w:t>
      </w:r>
    </w:p>
    <w:p w14:paraId="5B17EF96"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A.2.3. Performans yönetimi</w:t>
      </w:r>
    </w:p>
    <w:p w14:paraId="404F3F75"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A.3. Yönetim Sistemleri</w:t>
      </w:r>
    </w:p>
    <w:p w14:paraId="3B424FE9"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A.3.1. Bilgi yönetim sistem</w:t>
      </w:r>
    </w:p>
    <w:p w14:paraId="7A006067"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A.3.2. İnsan kaynakları yönetimi</w:t>
      </w:r>
    </w:p>
    <w:p w14:paraId="7B7F498C"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A.3.3. Finansal yönetim</w:t>
      </w:r>
    </w:p>
    <w:p w14:paraId="5D35830F"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A.3.4. Süreç yönetimi</w:t>
      </w:r>
    </w:p>
    <w:p w14:paraId="68F1B262" w14:textId="77777777" w:rsidR="00CB4D4F" w:rsidRPr="00A35AE7" w:rsidRDefault="00CB4D4F"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A.4. Paydaş Katılımı</w:t>
      </w:r>
    </w:p>
    <w:p w14:paraId="3E70CC2D" w14:textId="77777777" w:rsidR="00A474DD" w:rsidRPr="00A35AE7" w:rsidRDefault="00A474DD" w:rsidP="004C1121">
      <w:pPr>
        <w:spacing w:after="120" w:line="240" w:lineRule="auto"/>
        <w:jc w:val="both"/>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A.4.1. İç ve dış paydaş katılımı</w:t>
      </w:r>
    </w:p>
    <w:p w14:paraId="4EDB9338" w14:textId="77777777" w:rsidR="00A474DD" w:rsidRPr="00A35AE7" w:rsidRDefault="00A474DD" w:rsidP="004C1121">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A.4.2. Öğrenci geri bildirimleri</w:t>
      </w:r>
    </w:p>
    <w:p w14:paraId="0D20DCB9" w14:textId="77777777" w:rsidR="00A474DD" w:rsidRPr="00A35AE7" w:rsidRDefault="00A474DD" w:rsidP="004C1121">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A.4.3. Mezun ilişkileri yönetimi</w:t>
      </w:r>
    </w:p>
    <w:p w14:paraId="1E61BFF0" w14:textId="7383C8CA" w:rsidR="0019138F" w:rsidRPr="0019138F" w:rsidRDefault="0019138F" w:rsidP="0019138F">
      <w:pPr>
        <w:pStyle w:val="list-item"/>
        <w:shd w:val="clear" w:color="auto" w:fill="FFFFFF"/>
        <w:spacing w:before="0" w:beforeAutospacing="0" w:after="120" w:afterAutospacing="0"/>
        <w:jc w:val="both"/>
      </w:pPr>
      <w:r w:rsidRPr="0019138F">
        <w:t xml:space="preserve">Bilgisayar Programcılığı Programı; mezunlarının kariyer gelişimlerini desteklemek ve onlarla olan bağlarını güçlendirmek için </w:t>
      </w:r>
      <w:proofErr w:type="spellStart"/>
      <w:r w:rsidRPr="0019138F">
        <w:t>Linkedin</w:t>
      </w:r>
      <w:proofErr w:type="spellEnd"/>
      <w:r w:rsidRPr="0019138F">
        <w:t xml:space="preserve"> hesapları üzerinden aktif iletişim stratejileri geliştirmiştir. Bu platform üzerinden kurulan iletişim, hem mezunların profesyonel dünyadaki başarılarını takip etmek, hem de onları üniversiteyle devam eden bir ilişki içinde tutmak için kritik bir rol oynamaktadır</w:t>
      </w:r>
      <w:hyperlink r:id="rId6" w:history="1">
        <w:r w:rsidRPr="0019138F">
          <w:t xml:space="preserve">. </w:t>
        </w:r>
        <w:proofErr w:type="spellStart"/>
        <w:r w:rsidRPr="0019138F">
          <w:t>Linkedin</w:t>
        </w:r>
        <w:proofErr w:type="spellEnd"/>
        <w:r w:rsidRPr="0019138F">
          <w:t xml:space="preserve"> grubu</w:t>
        </w:r>
      </w:hyperlink>
      <w:r w:rsidRPr="0019138F">
        <w:t>, mezunlarımızın birbirleriyle ve üniversiteyle iletişimde kalmasını sağlayan etkinlikler, duyurular ve fırsatlar sunmaktadır.</w:t>
      </w:r>
      <w:r w:rsidR="00BE2350">
        <w:t xml:space="preserve"> TBMYO Bilgisayar Programcılığı programı web sayfasında kurumsal </w:t>
      </w:r>
      <w:proofErr w:type="spellStart"/>
      <w:r w:rsidR="00BE2350">
        <w:t>LinkedIn</w:t>
      </w:r>
      <w:proofErr w:type="spellEnd"/>
      <w:r w:rsidR="00BE2350">
        <w:t xml:space="preserve"> sayfasına yönlendiren bir sekme mevcuttur.</w:t>
      </w:r>
    </w:p>
    <w:p w14:paraId="3C31998E" w14:textId="77777777" w:rsidR="00CB4D4F" w:rsidRPr="00A35AE7" w:rsidRDefault="00CB4D4F" w:rsidP="004C1121">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A.5. Uluslararasılaşması</w:t>
      </w:r>
    </w:p>
    <w:p w14:paraId="057ED792" w14:textId="77777777" w:rsidR="00A474DD" w:rsidRPr="00A35AE7" w:rsidRDefault="00A474DD" w:rsidP="004C1121">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A.5.1. Uluslararasılaşma süreçlerinin yönetimi</w:t>
      </w:r>
    </w:p>
    <w:p w14:paraId="6FF4088E" w14:textId="77777777" w:rsidR="00A474DD" w:rsidRPr="00A35AE7" w:rsidRDefault="00A474DD" w:rsidP="004C1121">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A.5.2. Uluslararasılaşma kaynakları</w:t>
      </w:r>
    </w:p>
    <w:p w14:paraId="09ACB57D" w14:textId="77777777" w:rsidR="00A474DD" w:rsidRPr="00A35AE7" w:rsidRDefault="00A474DD" w:rsidP="004C1121">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A.5.3. Uluslararasılaşma performansı</w:t>
      </w:r>
    </w:p>
    <w:p w14:paraId="354E38E3" w14:textId="1DE51DA3" w:rsidR="00A474DD" w:rsidRPr="00A35AE7" w:rsidRDefault="00A474DD" w:rsidP="006D1A0D">
      <w:pPr>
        <w:numPr>
          <w:ilvl w:val="0"/>
          <w:numId w:val="1"/>
        </w:numPr>
        <w:spacing w:after="120" w:line="240" w:lineRule="auto"/>
        <w:rPr>
          <w:rFonts w:ascii="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lastRenderedPageBreak/>
        <w:t>EĞİTİM ve ÖĞRETİM</w:t>
      </w:r>
    </w:p>
    <w:p w14:paraId="228249B5" w14:textId="5A530D99"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 Program Tasarımı, Değerlendirmesi ve Güncellenmesi</w:t>
      </w:r>
    </w:p>
    <w:p w14:paraId="53EEC78D" w14:textId="77777777" w:rsidR="00983DE4" w:rsidRPr="00A35AE7" w:rsidRDefault="00B23397" w:rsidP="004C1121">
      <w:pPr>
        <w:spacing w:after="120" w:line="240" w:lineRule="auto"/>
        <w:jc w:val="both"/>
        <w:rPr>
          <w:rFonts w:ascii="Times New Roman" w:hAnsi="Times New Roman" w:cs="Times New Roman"/>
          <w:color w:val="000000" w:themeColor="text1"/>
          <w:sz w:val="24"/>
          <w:szCs w:val="24"/>
        </w:rPr>
      </w:pPr>
      <w:r w:rsidRPr="00A35AE7">
        <w:rPr>
          <w:rFonts w:ascii="Times New Roman" w:hAnsi="Times New Roman" w:cs="Times New Roman"/>
          <w:color w:val="000000" w:themeColor="text1"/>
          <w:sz w:val="24"/>
          <w:szCs w:val="24"/>
        </w:rPr>
        <w:t xml:space="preserve">Marmara Üniversitesi Teknik Bilimler Meslek Yüksekokulunun tüm bölümlerinde ilgili sektörlerin ihtiyaçları doğrultusunda </w:t>
      </w:r>
      <w:r w:rsidR="00983DE4" w:rsidRPr="00A35AE7">
        <w:rPr>
          <w:rFonts w:ascii="Times New Roman" w:hAnsi="Times New Roman" w:cs="Times New Roman"/>
          <w:color w:val="000000" w:themeColor="text1"/>
          <w:sz w:val="24"/>
          <w:szCs w:val="24"/>
        </w:rPr>
        <w:t xml:space="preserve">Öğrenci merkezli, dengeli ve dinamik bir eğitim anlayışı ile </w:t>
      </w:r>
      <w:r w:rsidRPr="00A35AE7">
        <w:rPr>
          <w:rFonts w:ascii="Times New Roman" w:hAnsi="Times New Roman" w:cs="Times New Roman"/>
          <w:color w:val="000000" w:themeColor="text1"/>
          <w:sz w:val="24"/>
          <w:szCs w:val="24"/>
        </w:rPr>
        <w:t xml:space="preserve">uygulamalı eğitimler verilmektedir. </w:t>
      </w:r>
      <w:r w:rsidR="00983DE4" w:rsidRPr="00A35AE7">
        <w:rPr>
          <w:rFonts w:ascii="Times New Roman" w:hAnsi="Times New Roman" w:cs="Times New Roman"/>
          <w:color w:val="000000" w:themeColor="text1"/>
          <w:sz w:val="24"/>
          <w:szCs w:val="24"/>
        </w:rPr>
        <w:t>Yüksekokulun eğitimdeki amacı; Kendi kendine öğrenme becerisini geliştiren, temel kuramsal bilgilerle donanmış, gözlem yapabilen, sorgulayan, analitik düşünen, sahadaki problemlere çözüm üretebilen, iletişim yetenekleri gelişmiş, takım çalışması yapabilen, yaşadığı toplumun ve gelecekteki insanlığın gelişim ve refahını güçlendirmeyi hedefleyen mezunlar yetiştirmektir.</w:t>
      </w:r>
    </w:p>
    <w:p w14:paraId="25A8F479" w14:textId="75D1F6C0" w:rsidR="00B23397" w:rsidRPr="00A35AE7" w:rsidRDefault="000A6368" w:rsidP="004C1121">
      <w:pPr>
        <w:spacing w:after="120" w:line="240" w:lineRule="auto"/>
        <w:jc w:val="both"/>
        <w:rPr>
          <w:rFonts w:ascii="Times New Roman" w:hAnsi="Times New Roman" w:cs="Times New Roman"/>
          <w:color w:val="000000" w:themeColor="text1"/>
          <w:sz w:val="24"/>
          <w:szCs w:val="24"/>
        </w:rPr>
      </w:pPr>
      <w:hyperlink r:id="rId7" w:history="1">
        <w:r w:rsidR="00463D8F">
          <w:rPr>
            <w:rStyle w:val="Kpr"/>
            <w:rFonts w:ascii="Times New Roman" w:hAnsi="Times New Roman" w:cs="Times New Roman"/>
            <w:sz w:val="24"/>
            <w:szCs w:val="24"/>
          </w:rPr>
          <w:t>Bilgisayar Programcılığı</w:t>
        </w:r>
        <w:r w:rsidR="00983DE4" w:rsidRPr="00A35AE7">
          <w:rPr>
            <w:rStyle w:val="Kpr"/>
            <w:rFonts w:ascii="Times New Roman" w:hAnsi="Times New Roman" w:cs="Times New Roman"/>
            <w:sz w:val="24"/>
            <w:szCs w:val="24"/>
          </w:rPr>
          <w:t xml:space="preserve"> Programı</w:t>
        </w:r>
      </w:hyperlink>
      <w:r w:rsidR="00983DE4" w:rsidRPr="00A35AE7">
        <w:rPr>
          <w:rFonts w:ascii="Times New Roman" w:hAnsi="Times New Roman" w:cs="Times New Roman"/>
          <w:color w:val="000000" w:themeColor="text1"/>
          <w:sz w:val="24"/>
          <w:szCs w:val="24"/>
        </w:rPr>
        <w:t>, ön lisans seviyesinde Türkiye’nin en başarılı öğrencilerini almaktadır.</w:t>
      </w:r>
    </w:p>
    <w:p w14:paraId="7B525D06" w14:textId="696B8438"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B.1.1. Programların tasarımı ve onayı</w:t>
      </w:r>
    </w:p>
    <w:p w14:paraId="02B0A3AD" w14:textId="440BEBC7" w:rsidR="00983DE4" w:rsidRPr="00A35AE7" w:rsidRDefault="00983DE4" w:rsidP="004C1121">
      <w:pPr>
        <w:pStyle w:val="list-item"/>
        <w:shd w:val="clear" w:color="auto" w:fill="FFFFFF"/>
        <w:spacing w:before="0" w:beforeAutospacing="0" w:after="120" w:afterAutospacing="0"/>
        <w:jc w:val="both"/>
      </w:pPr>
      <w:r w:rsidRPr="00A35AE7">
        <w:t xml:space="preserve">Yüksekokulun </w:t>
      </w:r>
      <w:hyperlink r:id="rId8" w:history="1">
        <w:r w:rsidR="005A08F8">
          <w:rPr>
            <w:rStyle w:val="Kpr"/>
          </w:rPr>
          <w:t>Bilgisayar Program</w:t>
        </w:r>
        <w:r w:rsidR="00463D8F">
          <w:rPr>
            <w:rStyle w:val="Kpr"/>
          </w:rPr>
          <w:t>cılığı</w:t>
        </w:r>
        <w:r w:rsidRPr="00A35AE7">
          <w:rPr>
            <w:rStyle w:val="Kpr"/>
          </w:rPr>
          <w:t xml:space="preserve"> Programın</w:t>
        </w:r>
        <w:r w:rsidR="00463D8F">
          <w:rPr>
            <w:rStyle w:val="Kpr"/>
          </w:rPr>
          <w:t>ın</w:t>
        </w:r>
        <w:r w:rsidRPr="00A35AE7">
          <w:rPr>
            <w:rStyle w:val="Kpr"/>
          </w:rPr>
          <w:t xml:space="preserve"> ders dağılım dengesi</w:t>
        </w:r>
      </w:hyperlink>
      <w:r w:rsidRPr="00A35AE7">
        <w:t xml:space="preserve"> yukarıda sayılan eğitim amaçlarını sağlayacak şekilde</w:t>
      </w:r>
      <w:r w:rsidR="00C62DE4">
        <w:t>dir.</w:t>
      </w:r>
      <w:r w:rsidRPr="00A35AE7">
        <w:t xml:space="preserve"> Dersle</w:t>
      </w:r>
      <w:r w:rsidR="005D4A27">
        <w:t>r ön koşul gerektirmemektedir. Tüm dönemler için</w:t>
      </w:r>
      <w:r w:rsidRPr="00A35AE7">
        <w:t xml:space="preserve"> bölüm tarafından tanımlanan kontenjan </w:t>
      </w:r>
      <w:proofErr w:type="gramStart"/>
      <w:r w:rsidRPr="00A35AE7">
        <w:t>dahilinde</w:t>
      </w:r>
      <w:proofErr w:type="gramEnd"/>
      <w:r w:rsidRPr="00A35AE7">
        <w:t xml:space="preserve"> öğrencilerimiz ilgi alanları dahilinde seçmeli derslerden uygun olarak seçim yapmaktadırlar. </w:t>
      </w:r>
    </w:p>
    <w:p w14:paraId="21C798D5"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B.1.2. Programın ders dağılım dengesi</w:t>
      </w:r>
    </w:p>
    <w:p w14:paraId="013EDB5B"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B.1.3. Ders kazanımlarının program çıktılarıyla uyumu</w:t>
      </w:r>
    </w:p>
    <w:p w14:paraId="6371D978"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B.1.4. Öğrenci iş yüküne dayalı ders tasarımı</w:t>
      </w:r>
    </w:p>
    <w:p w14:paraId="21B0BF44"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B.1.5. Programların izlenmesi ve güncellenmesi</w:t>
      </w:r>
    </w:p>
    <w:p w14:paraId="14A65D83"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B.1.6. Eğitim ve öğretim süreçlerinin yönetimi</w:t>
      </w:r>
    </w:p>
    <w:p w14:paraId="35AA59BE"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B.2. Programların Yürütülmesi (Öğrenci Merkezli Öğrenme, Öğretme ve Değerlendirme)</w:t>
      </w:r>
    </w:p>
    <w:p w14:paraId="14E9399B"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B.2.1. Öğretim yöntem ve teknikleri</w:t>
      </w:r>
    </w:p>
    <w:p w14:paraId="4DB21713" w14:textId="37B0E6D8" w:rsidR="00A474DD" w:rsidRPr="00A35AE7" w:rsidRDefault="00C3173D" w:rsidP="00A35AE7">
      <w:pPr>
        <w:tabs>
          <w:tab w:val="left" w:pos="284"/>
        </w:tabs>
        <w:spacing w:after="120" w:line="240" w:lineRule="auto"/>
        <w:jc w:val="both"/>
        <w:rPr>
          <w:rFonts w:ascii="Times New Roman" w:hAnsi="Times New Roman" w:cs="Times New Roman"/>
          <w:color w:val="000000" w:themeColor="text1"/>
          <w:sz w:val="24"/>
          <w:szCs w:val="24"/>
        </w:rPr>
      </w:pPr>
      <w:r w:rsidRPr="00A35AE7">
        <w:rPr>
          <w:rFonts w:ascii="Times New Roman" w:hAnsi="Times New Roman" w:cs="Times New Roman"/>
          <w:color w:val="000000" w:themeColor="text1"/>
          <w:sz w:val="24"/>
          <w:szCs w:val="24"/>
        </w:rPr>
        <w:t xml:space="preserve">2023-24 eğitim-öğretim yılında sadece </w:t>
      </w:r>
      <w:r w:rsidR="00A474DD" w:rsidRPr="00A35AE7">
        <w:rPr>
          <w:rFonts w:ascii="Times New Roman" w:hAnsi="Times New Roman" w:cs="Times New Roman"/>
          <w:color w:val="000000" w:themeColor="text1"/>
          <w:sz w:val="24"/>
          <w:szCs w:val="24"/>
        </w:rPr>
        <w:t>Elektrik Programında İkinci Öğretim</w:t>
      </w:r>
      <w:r w:rsidRPr="00A35AE7">
        <w:rPr>
          <w:rFonts w:ascii="Times New Roman" w:hAnsi="Times New Roman" w:cs="Times New Roman"/>
          <w:color w:val="000000" w:themeColor="text1"/>
          <w:sz w:val="24"/>
          <w:szCs w:val="24"/>
        </w:rPr>
        <w:t xml:space="preserve"> programında öğrenci yerleştirmesi yapılmıştır. </w:t>
      </w:r>
    </w:p>
    <w:p w14:paraId="442BFFCE"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B.2.2. Ölçme ve değerlendirme</w:t>
      </w:r>
    </w:p>
    <w:p w14:paraId="5D03C097" w14:textId="77777777" w:rsidR="00201F14" w:rsidRPr="00A35AE7" w:rsidRDefault="00201F14" w:rsidP="004C1121">
      <w:pPr>
        <w:tabs>
          <w:tab w:val="left" w:pos="284"/>
        </w:tabs>
        <w:spacing w:after="120" w:line="240" w:lineRule="auto"/>
        <w:jc w:val="both"/>
        <w:rPr>
          <w:rFonts w:ascii="Times New Roman" w:hAnsi="Times New Roman" w:cs="Times New Roman"/>
          <w:sz w:val="24"/>
          <w:szCs w:val="24"/>
        </w:rPr>
      </w:pPr>
      <w:r w:rsidRPr="00A35AE7">
        <w:rPr>
          <w:rFonts w:ascii="Times New Roman" w:hAnsi="Times New Roman" w:cs="Times New Roman"/>
          <w:sz w:val="24"/>
          <w:szCs w:val="24"/>
        </w:rPr>
        <w:t xml:space="preserve">Marmara Üniversitesi Teknik Bilimler Meslek Yüksekokulu’nda ölçme ve değerlendirme sistemine ilişkin </w:t>
      </w:r>
      <w:hyperlink r:id="rId9" w:history="1">
        <w:r w:rsidRPr="00A35AE7">
          <w:rPr>
            <w:rStyle w:val="Kpr"/>
            <w:rFonts w:ascii="Times New Roman" w:hAnsi="Times New Roman" w:cs="Times New Roman"/>
            <w:color w:val="auto"/>
            <w:sz w:val="24"/>
            <w:szCs w:val="24"/>
          </w:rPr>
          <w:t>Marmara Üniversitesi Sınav ve Başarı Değerlendirme Yönergesi</w:t>
        </w:r>
      </w:hyperlink>
      <w:r w:rsidRPr="00A35AE7">
        <w:rPr>
          <w:rFonts w:ascii="Times New Roman" w:hAnsi="Times New Roman" w:cs="Times New Roman"/>
          <w:sz w:val="24"/>
          <w:szCs w:val="24"/>
        </w:rPr>
        <w:t xml:space="preserve"> uygulanmaktadır.</w:t>
      </w:r>
    </w:p>
    <w:p w14:paraId="2B41B84E" w14:textId="35C09CF0" w:rsidR="008B1BFE" w:rsidRPr="008B1BFE" w:rsidRDefault="008B1BFE" w:rsidP="008B1BFE">
      <w:pPr>
        <w:tabs>
          <w:tab w:val="left" w:pos="28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Bilgisayar Programcılığı Programı’nda</w:t>
      </w:r>
      <w:r w:rsidRPr="008B1BFE">
        <w:rPr>
          <w:rFonts w:ascii="Times New Roman" w:hAnsi="Times New Roman" w:cs="Times New Roman"/>
          <w:sz w:val="24"/>
          <w:szCs w:val="24"/>
        </w:rPr>
        <w:t xml:space="preserve"> farklı ölçme ve değerlendirme yöntemleri (ödev, p</w:t>
      </w:r>
      <w:r w:rsidR="00995A04">
        <w:rPr>
          <w:rFonts w:ascii="Times New Roman" w:hAnsi="Times New Roman" w:cs="Times New Roman"/>
          <w:sz w:val="24"/>
          <w:szCs w:val="24"/>
        </w:rPr>
        <w:t>roje, laboratuvar u</w:t>
      </w:r>
      <w:r w:rsidRPr="008B1BFE">
        <w:rPr>
          <w:rFonts w:ascii="Times New Roman" w:hAnsi="Times New Roman" w:cs="Times New Roman"/>
          <w:sz w:val="24"/>
          <w:szCs w:val="24"/>
        </w:rPr>
        <w:t>y</w:t>
      </w:r>
      <w:r w:rsidR="00995A04">
        <w:rPr>
          <w:rFonts w:ascii="Times New Roman" w:hAnsi="Times New Roman" w:cs="Times New Roman"/>
          <w:sz w:val="24"/>
          <w:szCs w:val="24"/>
        </w:rPr>
        <w:t>g</w:t>
      </w:r>
      <w:bookmarkStart w:id="0" w:name="_GoBack"/>
      <w:bookmarkEnd w:id="0"/>
      <w:r w:rsidRPr="008B1BFE">
        <w:rPr>
          <w:rFonts w:ascii="Times New Roman" w:hAnsi="Times New Roman" w:cs="Times New Roman"/>
          <w:sz w:val="24"/>
          <w:szCs w:val="24"/>
        </w:rPr>
        <w:t xml:space="preserve">ulamaları </w:t>
      </w:r>
      <w:proofErr w:type="spellStart"/>
      <w:r w:rsidRPr="008B1BFE">
        <w:rPr>
          <w:rFonts w:ascii="Times New Roman" w:hAnsi="Times New Roman" w:cs="Times New Roman"/>
          <w:sz w:val="24"/>
          <w:szCs w:val="24"/>
        </w:rPr>
        <w:t>v.b</w:t>
      </w:r>
      <w:proofErr w:type="spellEnd"/>
      <w:r w:rsidRPr="008B1BFE">
        <w:rPr>
          <w:rFonts w:ascii="Times New Roman" w:hAnsi="Times New Roman" w:cs="Times New Roman"/>
          <w:sz w:val="24"/>
          <w:szCs w:val="24"/>
        </w:rPr>
        <w:t xml:space="preserve">.) uygulanmaktadır. Bu yöntemlere ait puanlamalar, </w:t>
      </w:r>
      <w:r w:rsidRPr="00A35AE7">
        <w:rPr>
          <w:rFonts w:ascii="Times New Roman" w:hAnsi="Times New Roman" w:cs="Times New Roman"/>
          <w:sz w:val="24"/>
          <w:szCs w:val="24"/>
        </w:rPr>
        <w:t xml:space="preserve">Marmara Üniversitesi bünyesinde bulunan </w:t>
      </w:r>
      <w:hyperlink r:id="rId10" w:history="1">
        <w:r w:rsidRPr="00A35AE7">
          <w:rPr>
            <w:rStyle w:val="Kpr"/>
            <w:rFonts w:ascii="Times New Roman" w:hAnsi="Times New Roman" w:cs="Times New Roman"/>
            <w:color w:val="auto"/>
            <w:sz w:val="24"/>
            <w:szCs w:val="24"/>
          </w:rPr>
          <w:t>Bilgi Yönetim Sistemi</w:t>
        </w:r>
      </w:hyperlink>
      <w:r>
        <w:rPr>
          <w:rStyle w:val="Kpr"/>
          <w:rFonts w:ascii="Times New Roman" w:hAnsi="Times New Roman" w:cs="Times New Roman"/>
          <w:color w:val="auto"/>
          <w:sz w:val="24"/>
          <w:szCs w:val="24"/>
        </w:rPr>
        <w:t>’nde</w:t>
      </w:r>
      <w:r w:rsidRPr="008B1BFE">
        <w:rPr>
          <w:rFonts w:ascii="Times New Roman" w:hAnsi="Times New Roman" w:cs="Times New Roman"/>
          <w:sz w:val="24"/>
          <w:szCs w:val="24"/>
        </w:rPr>
        <w:t xml:space="preserve"> her öğretim üyesi tarafından farklı şekilde yüzde olarak derecelendirilmektedir. Bu sistem, öğrencilerin performansını çeşitli açılardan değerlendirmeyi hedeflemektedir. </w:t>
      </w:r>
    </w:p>
    <w:p w14:paraId="153B16A9"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B.2.3. Öğrenci kabulü, önceki öğrenmenin tanınması ve Kredilendirilmesi</w:t>
      </w:r>
    </w:p>
    <w:p w14:paraId="16E101A7"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B.2.4. Yeterliliklerin sertifikalandırılması ve diploma</w:t>
      </w:r>
    </w:p>
    <w:p w14:paraId="5109163E"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B.3. Öğrenme Kaynakları ve Akademik Destek Hizmetleri</w:t>
      </w:r>
    </w:p>
    <w:p w14:paraId="4CE7FC49"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B.3.1. Öğrenme ortam ve kaynakları</w:t>
      </w:r>
    </w:p>
    <w:p w14:paraId="5D6B1513" w14:textId="77777777" w:rsidR="00A474DD" w:rsidRPr="00A35AE7" w:rsidRDefault="00A474DD" w:rsidP="004C1121">
      <w:pPr>
        <w:spacing w:after="120" w:line="240" w:lineRule="auto"/>
        <w:jc w:val="both"/>
        <w:rPr>
          <w:rFonts w:ascii="Times New Roman" w:hAnsi="Times New Roman" w:cs="Times New Roman"/>
          <w:sz w:val="24"/>
          <w:szCs w:val="24"/>
        </w:rPr>
      </w:pPr>
      <w:r w:rsidRPr="00A35AE7">
        <w:rPr>
          <w:rFonts w:ascii="Times New Roman" w:hAnsi="Times New Roman" w:cs="Times New Roman"/>
          <w:sz w:val="24"/>
          <w:szCs w:val="24"/>
        </w:rPr>
        <w:lastRenderedPageBreak/>
        <w:t xml:space="preserve">Teknik Bilimler Meslek Yüksekokulu’nda öğrenim gören öğrencilerin eğitim – öğretim faaliyetlerinden faydalanmaları, öğrenim hakları hakkında bilgilendirilmeleri TBMYO’nun </w:t>
      </w:r>
      <w:hyperlink r:id="rId11" w:history="1">
        <w:r w:rsidRPr="00A35AE7">
          <w:rPr>
            <w:rStyle w:val="Kpr"/>
            <w:rFonts w:ascii="Times New Roman" w:hAnsi="Times New Roman" w:cs="Times New Roman"/>
            <w:color w:val="auto"/>
            <w:sz w:val="24"/>
            <w:szCs w:val="24"/>
          </w:rPr>
          <w:t>web sayfası</w:t>
        </w:r>
      </w:hyperlink>
      <w:r w:rsidRPr="00A35AE7">
        <w:rPr>
          <w:rFonts w:ascii="Times New Roman" w:hAnsi="Times New Roman" w:cs="Times New Roman"/>
          <w:sz w:val="24"/>
          <w:szCs w:val="24"/>
        </w:rPr>
        <w:t xml:space="preserve"> üzerinden yapılmaktadır. </w:t>
      </w:r>
    </w:p>
    <w:p w14:paraId="42A5700A"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B.3.2. Akademik destek hizmetleri</w:t>
      </w:r>
    </w:p>
    <w:p w14:paraId="263B5F4F" w14:textId="77777777" w:rsidR="008061EF" w:rsidRPr="00DB16B3" w:rsidRDefault="008061EF" w:rsidP="008061EF">
      <w:pPr>
        <w:pBdr>
          <w:top w:val="nil"/>
          <w:left w:val="nil"/>
          <w:bottom w:val="nil"/>
          <w:right w:val="nil"/>
          <w:between w:val="nil"/>
        </w:pBdr>
        <w:spacing w:after="0" w:line="360" w:lineRule="auto"/>
        <w:jc w:val="both"/>
        <w:rPr>
          <w:rFonts w:ascii="Times New Roman" w:eastAsia="Times New Roman" w:hAnsi="Times New Roman" w:cs="Times New Roman"/>
          <w:i/>
          <w:color w:val="00B050"/>
        </w:rPr>
      </w:pPr>
      <w:r w:rsidRPr="008061EF">
        <w:rPr>
          <w:rFonts w:ascii="Times New Roman" w:hAnsi="Times New Roman" w:cs="Times New Roman"/>
          <w:sz w:val="24"/>
          <w:szCs w:val="24"/>
        </w:rPr>
        <w:t xml:space="preserve">Teknik Bilimler Meslek Yüksekokulu’nun tüm programlarında her sınıf için bir akademik danışman ataması yapılmaktadır. Akademik danışman listesi her bölümün ilgili sayfalarında öğrencilere ile paylaşılmaktadır. Öğrenciler </w:t>
      </w:r>
      <w:hyperlink r:id="rId12" w:history="1">
        <w:r w:rsidRPr="008061EF">
          <w:t>akademik danışmanlarına</w:t>
        </w:r>
      </w:hyperlink>
      <w:r w:rsidRPr="008061EF">
        <w:rPr>
          <w:rFonts w:ascii="Times New Roman" w:hAnsi="Times New Roman" w:cs="Times New Roman"/>
          <w:sz w:val="24"/>
          <w:szCs w:val="24"/>
        </w:rPr>
        <w:t xml:space="preserve"> e-posta ve BYS içerisinde yer alan mesaj bölümünden ulaşabilmektedirler</w:t>
      </w:r>
      <w:r w:rsidRPr="00DB16B3">
        <w:rPr>
          <w:rFonts w:ascii="Times New Roman" w:hAnsi="Times New Roman" w:cs="Times New Roman"/>
          <w:color w:val="00B050"/>
          <w:sz w:val="24"/>
          <w:szCs w:val="24"/>
        </w:rPr>
        <w:t>.</w:t>
      </w:r>
    </w:p>
    <w:p w14:paraId="36A431D5"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B.3.3. Tesis ve altyapılar</w:t>
      </w:r>
    </w:p>
    <w:p w14:paraId="619D4A31" w14:textId="669A0FC5" w:rsidR="00A474DD" w:rsidRDefault="00A474DD" w:rsidP="004C1121">
      <w:pPr>
        <w:widowControl w:val="0"/>
        <w:autoSpaceDE w:val="0"/>
        <w:autoSpaceDN w:val="0"/>
        <w:adjustRightInd w:val="0"/>
        <w:spacing w:after="120" w:line="240" w:lineRule="auto"/>
        <w:jc w:val="both"/>
        <w:rPr>
          <w:rFonts w:ascii="Times New Roman" w:hAnsi="Times New Roman" w:cs="Times New Roman"/>
          <w:sz w:val="24"/>
          <w:szCs w:val="24"/>
        </w:rPr>
      </w:pPr>
      <w:r w:rsidRPr="00A35AE7">
        <w:rPr>
          <w:rFonts w:ascii="Times New Roman" w:hAnsi="Times New Roman" w:cs="Times New Roman"/>
          <w:sz w:val="24"/>
          <w:szCs w:val="24"/>
        </w:rPr>
        <w:t>Mehmet Genç Külliyesi’nde bulunan yemekhane, yurt, konferans salonları erişilebilirdir ve öğrencilerin bilgisine/kullanımına sunulmuştur.</w:t>
      </w:r>
    </w:p>
    <w:p w14:paraId="434A12EF" w14:textId="08EDB4F2" w:rsidR="001A49FB" w:rsidRPr="001A49FB" w:rsidRDefault="001A49FB" w:rsidP="001A49FB">
      <w:pPr>
        <w:widowControl w:val="0"/>
        <w:autoSpaceDE w:val="0"/>
        <w:autoSpaceDN w:val="0"/>
        <w:adjustRightInd w:val="0"/>
        <w:spacing w:after="120" w:line="240" w:lineRule="auto"/>
        <w:jc w:val="both"/>
        <w:rPr>
          <w:rFonts w:ascii="Times New Roman" w:hAnsi="Times New Roman" w:cs="Times New Roman"/>
          <w:sz w:val="24"/>
          <w:szCs w:val="24"/>
        </w:rPr>
      </w:pPr>
      <w:r w:rsidRPr="001A49FB">
        <w:rPr>
          <w:rFonts w:ascii="Times New Roman" w:hAnsi="Times New Roman" w:cs="Times New Roman"/>
          <w:sz w:val="24"/>
          <w:szCs w:val="24"/>
        </w:rPr>
        <w:t xml:space="preserve">Bilgisayar </w:t>
      </w:r>
      <w:r>
        <w:rPr>
          <w:rFonts w:ascii="Times New Roman" w:hAnsi="Times New Roman" w:cs="Times New Roman"/>
          <w:sz w:val="24"/>
          <w:szCs w:val="24"/>
        </w:rPr>
        <w:t>Programcı</w:t>
      </w:r>
      <w:r w:rsidR="004F1057">
        <w:rPr>
          <w:rFonts w:ascii="Times New Roman" w:hAnsi="Times New Roman" w:cs="Times New Roman"/>
          <w:sz w:val="24"/>
          <w:szCs w:val="24"/>
        </w:rPr>
        <w:t>lığı Uzaktan Öğretim programın</w:t>
      </w:r>
      <w:r w:rsidRPr="001A49FB">
        <w:rPr>
          <w:rFonts w:ascii="Times New Roman" w:hAnsi="Times New Roman" w:cs="Times New Roman"/>
          <w:sz w:val="24"/>
          <w:szCs w:val="24"/>
        </w:rPr>
        <w:t xml:space="preserve">da öğrenim gören öğrenciler de ilgili programların atölye ve laboratuvarlarından faydalanmaktadırlar. </w:t>
      </w:r>
      <w:hyperlink r:id="rId13" w:history="1">
        <w:r w:rsidRPr="004F1057">
          <w:rPr>
            <w:rStyle w:val="Kpr"/>
            <w:rFonts w:ascii="Times New Roman" w:hAnsi="Times New Roman" w:cs="Times New Roman"/>
            <w:sz w:val="24"/>
            <w:szCs w:val="24"/>
          </w:rPr>
          <w:t>Uygulamalı derslere ilişkin program</w:t>
        </w:r>
      </w:hyperlink>
      <w:r w:rsidRPr="001A49FB">
        <w:rPr>
          <w:rFonts w:ascii="Times New Roman" w:hAnsi="Times New Roman" w:cs="Times New Roman"/>
          <w:sz w:val="24"/>
          <w:szCs w:val="24"/>
        </w:rPr>
        <w:t xml:space="preserve"> ilan edilerek ilgili öğrenciler </w:t>
      </w:r>
      <w:hyperlink r:id="rId14" w:history="1">
        <w:proofErr w:type="spellStart"/>
        <w:r w:rsidRPr="001A49FB">
          <w:t>yüzyüze</w:t>
        </w:r>
        <w:proofErr w:type="spellEnd"/>
        <w:r w:rsidRPr="001A49FB">
          <w:t xml:space="preserve"> derslere</w:t>
        </w:r>
      </w:hyperlink>
      <w:r w:rsidRPr="001A49FB">
        <w:rPr>
          <w:rFonts w:ascii="Times New Roman" w:hAnsi="Times New Roman" w:cs="Times New Roman"/>
          <w:sz w:val="24"/>
          <w:szCs w:val="24"/>
        </w:rPr>
        <w:t xml:space="preserve"> katılmaları için davet edilmektedirler.</w:t>
      </w:r>
    </w:p>
    <w:p w14:paraId="3F5BE417" w14:textId="77777777" w:rsidR="001A49FB" w:rsidRDefault="001A49FB" w:rsidP="004C1121">
      <w:pPr>
        <w:widowControl w:val="0"/>
        <w:autoSpaceDE w:val="0"/>
        <w:autoSpaceDN w:val="0"/>
        <w:adjustRightInd w:val="0"/>
        <w:spacing w:after="120" w:line="240" w:lineRule="auto"/>
        <w:jc w:val="both"/>
        <w:rPr>
          <w:rFonts w:ascii="Times New Roman" w:hAnsi="Times New Roman" w:cs="Times New Roman"/>
          <w:sz w:val="24"/>
          <w:szCs w:val="24"/>
        </w:rPr>
      </w:pPr>
    </w:p>
    <w:p w14:paraId="03224006" w14:textId="5DF5EC6E"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B.3.4. Dezavantajlı gruplar</w:t>
      </w:r>
    </w:p>
    <w:p w14:paraId="0A6D819B" w14:textId="77777777" w:rsidR="00AF1FD3" w:rsidRPr="00A35AE7" w:rsidRDefault="00AF1FD3" w:rsidP="004C1121">
      <w:pPr>
        <w:widowControl w:val="0"/>
        <w:autoSpaceDE w:val="0"/>
        <w:autoSpaceDN w:val="0"/>
        <w:adjustRightInd w:val="0"/>
        <w:spacing w:after="120" w:line="240" w:lineRule="auto"/>
        <w:jc w:val="both"/>
        <w:rPr>
          <w:rFonts w:ascii="Times New Roman" w:hAnsi="Times New Roman" w:cs="Times New Roman"/>
          <w:sz w:val="24"/>
          <w:szCs w:val="24"/>
        </w:rPr>
      </w:pPr>
      <w:r w:rsidRPr="00A35AE7">
        <w:rPr>
          <w:rFonts w:ascii="Times New Roman" w:hAnsi="Times New Roman" w:cs="Times New Roman"/>
          <w:sz w:val="24"/>
          <w:szCs w:val="24"/>
        </w:rPr>
        <w:t xml:space="preserve">Engelli öğrenciler, her birinin benzersiz durumu nedeniyle çeşitlilik arz ederler. Bu nedenle, onların ihtiyaçları ve talepleri de farklılık göstermektedir. Bu çerçevede, Engelli Öğrenci Danışmanı ve öğrenciler arasında yapılan birebir görüşmeler ile bilgi sistemleri üzerinden iletilen talepler doğrultusunda, birimimiz tarafından engelli öğrencilere özelleştirilmiş destek sağlanmaktadır. Aynı zamanda </w:t>
      </w:r>
      <w:hyperlink r:id="rId15" w:history="1">
        <w:r w:rsidRPr="00A35AE7">
          <w:rPr>
            <w:rStyle w:val="Kpr"/>
            <w:rFonts w:ascii="Times New Roman" w:hAnsi="Times New Roman" w:cs="Times New Roman"/>
            <w:color w:val="auto"/>
            <w:sz w:val="24"/>
            <w:szCs w:val="24"/>
          </w:rPr>
          <w:t>engelli öğrenciler için destek sürecine ait iş akış ve prosedürleri</w:t>
        </w:r>
      </w:hyperlink>
      <w:r w:rsidRPr="00A35AE7">
        <w:rPr>
          <w:rFonts w:ascii="Times New Roman" w:hAnsi="Times New Roman" w:cs="Times New Roman"/>
          <w:sz w:val="24"/>
          <w:szCs w:val="24"/>
        </w:rPr>
        <w:t xml:space="preserve"> web sayfasında yayınlanmıştır. </w:t>
      </w:r>
    </w:p>
    <w:p w14:paraId="1722EDD8"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B.4. Öğretim Kadrosu</w:t>
      </w:r>
    </w:p>
    <w:p w14:paraId="320B2E2B"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B.4.1. Atama, yükseltme ve görevlendirme kriterleri</w:t>
      </w:r>
    </w:p>
    <w:p w14:paraId="0CCC024C" w14:textId="5E43CE6F" w:rsidR="00062577" w:rsidRPr="002927FD" w:rsidRDefault="00A474DD" w:rsidP="002927FD">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B.4.2. Öğretim yetkinlikleri ve gelişimi</w:t>
      </w:r>
      <w:r w:rsidR="00062577" w:rsidRPr="00A35AE7">
        <w:rPr>
          <w:rFonts w:ascii="Times New Roman" w:hAnsi="Times New Roman" w:cs="Times New Roman"/>
          <w:sz w:val="24"/>
          <w:szCs w:val="24"/>
        </w:rPr>
        <w:t xml:space="preserve"> </w:t>
      </w:r>
    </w:p>
    <w:p w14:paraId="5F51940C" w14:textId="0D603F54"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B.4.3. Eğitim faaliyetlerine yönelik teşvik ve ödüllendirme</w:t>
      </w:r>
    </w:p>
    <w:p w14:paraId="659184FF" w14:textId="7EC2634B" w:rsidR="00833987" w:rsidRPr="00A35AE7" w:rsidRDefault="00833987"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1.EĞİTİM-ÖĞRETİM</w:t>
      </w:r>
    </w:p>
    <w:p w14:paraId="30A45A07"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ARAŞTIRMA ve GELİŞTİRME</w:t>
      </w:r>
    </w:p>
    <w:p w14:paraId="503702D2"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C.1. Araştırma Süreçlerinin Yönetimi ve Araştırma Kaynakları</w:t>
      </w:r>
    </w:p>
    <w:p w14:paraId="69740D79"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C.1.1. Araştırma süreçlerinin yönetimi</w:t>
      </w:r>
    </w:p>
    <w:p w14:paraId="2435DD56" w14:textId="77777777" w:rsidR="007B0056" w:rsidRPr="00A35AE7" w:rsidRDefault="007B0056"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C.1.2. İç ve dış kaynaklar</w:t>
      </w:r>
    </w:p>
    <w:p w14:paraId="2C1E9516"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C.1.3. Doktora programları ve doktora sonrası imkânlar</w:t>
      </w:r>
    </w:p>
    <w:p w14:paraId="4B3184C3" w14:textId="77777777" w:rsidR="00A474DD" w:rsidRPr="00A35AE7" w:rsidRDefault="00A474DD"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C.2.1. Araştırma yetkinlikleri ve gelişimi</w:t>
      </w:r>
    </w:p>
    <w:p w14:paraId="08651C1E" w14:textId="77777777" w:rsidR="00E212D9" w:rsidRPr="00A35AE7" w:rsidRDefault="00E212D9"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C.2.2. Ulusal ve uluslararası ortak programlar ve ortak araştırma birimleri</w:t>
      </w:r>
    </w:p>
    <w:p w14:paraId="29F452FD" w14:textId="77777777" w:rsidR="00E212D9" w:rsidRPr="00A35AE7" w:rsidRDefault="00E212D9"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C.3. Araştırma Performansı</w:t>
      </w:r>
    </w:p>
    <w:p w14:paraId="1D206E35" w14:textId="77777777" w:rsidR="00E212D9" w:rsidRPr="00A35AE7" w:rsidRDefault="00E212D9"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C.3.1. Araştırma performansının izlenmesi ve değerlendirilmesi</w:t>
      </w:r>
    </w:p>
    <w:p w14:paraId="602862DA" w14:textId="47CAB628" w:rsidR="00E212D9" w:rsidRPr="00A35AE7" w:rsidRDefault="00E212D9" w:rsidP="004C1121">
      <w:pPr>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lastRenderedPageBreak/>
        <w:t>C.3.2. Öğretim elemanı/araştırmacı performansının değerlendirilmesi</w:t>
      </w:r>
    </w:p>
    <w:p w14:paraId="628EA0A8" w14:textId="77777777" w:rsidR="00C26299" w:rsidRPr="003C7305" w:rsidRDefault="00C26299" w:rsidP="003C7305">
      <w:pPr>
        <w:spacing w:after="120" w:line="240" w:lineRule="auto"/>
        <w:jc w:val="both"/>
        <w:rPr>
          <w:rFonts w:ascii="Times New Roman" w:hAnsi="Times New Roman" w:cs="Times New Roman"/>
          <w:b/>
          <w:bCs/>
          <w:sz w:val="24"/>
          <w:szCs w:val="24"/>
        </w:rPr>
      </w:pPr>
      <w:r w:rsidRPr="003C7305">
        <w:rPr>
          <w:rFonts w:ascii="Times New Roman" w:hAnsi="Times New Roman" w:cs="Times New Roman"/>
          <w:b/>
          <w:bCs/>
          <w:sz w:val="24"/>
          <w:szCs w:val="24"/>
        </w:rPr>
        <w:t xml:space="preserve">Öğrenci Araştırma Projeleri: </w:t>
      </w:r>
    </w:p>
    <w:p w14:paraId="628A73B9" w14:textId="2810616C" w:rsidR="00C26299" w:rsidRPr="00A35AE7" w:rsidRDefault="0095590C" w:rsidP="006D1A0D">
      <w:pPr>
        <w:pStyle w:val="ListeParagraf"/>
        <w:numPr>
          <w:ilvl w:val="0"/>
          <w:numId w:val="2"/>
        </w:numPr>
        <w:spacing w:after="120" w:line="240" w:lineRule="auto"/>
        <w:contextualSpacing w:val="0"/>
        <w:jc w:val="both"/>
        <w:rPr>
          <w:rFonts w:ascii="Times New Roman" w:hAnsi="Times New Roman" w:cs="Times New Roman"/>
          <w:b/>
          <w:bCs/>
          <w:sz w:val="24"/>
          <w:szCs w:val="24"/>
        </w:rPr>
      </w:pPr>
      <w:r w:rsidRPr="00A35AE7">
        <w:rPr>
          <w:rFonts w:ascii="Times New Roman" w:hAnsi="Times New Roman" w:cs="Times New Roman"/>
          <w:b/>
          <w:bCs/>
          <w:sz w:val="24"/>
          <w:szCs w:val="24"/>
        </w:rPr>
        <w:t xml:space="preserve">Bilimsel Araştırmalar </w:t>
      </w:r>
    </w:p>
    <w:p w14:paraId="1B89916A" w14:textId="0993BD8D" w:rsidR="00C26299" w:rsidRDefault="00C26299" w:rsidP="00BB7608">
      <w:pPr>
        <w:pStyle w:val="ListeParagraf"/>
        <w:numPr>
          <w:ilvl w:val="0"/>
          <w:numId w:val="22"/>
        </w:numPr>
        <w:spacing w:after="120" w:line="240" w:lineRule="auto"/>
        <w:rPr>
          <w:rFonts w:ascii="Times New Roman" w:hAnsi="Times New Roman" w:cs="Times New Roman"/>
          <w:b/>
          <w:bCs/>
          <w:sz w:val="24"/>
          <w:szCs w:val="24"/>
        </w:rPr>
      </w:pPr>
      <w:r w:rsidRPr="00BB7608">
        <w:rPr>
          <w:rFonts w:ascii="Times New Roman" w:hAnsi="Times New Roman" w:cs="Times New Roman"/>
          <w:b/>
          <w:bCs/>
          <w:sz w:val="24"/>
          <w:szCs w:val="24"/>
        </w:rPr>
        <w:t xml:space="preserve"> Bilimsel Faaliyetleri</w:t>
      </w:r>
    </w:p>
    <w:p w14:paraId="015ED309" w14:textId="77777777" w:rsidR="00241116" w:rsidRPr="00BB7608" w:rsidRDefault="00241116" w:rsidP="00241116">
      <w:pPr>
        <w:pStyle w:val="ListeParagraf"/>
        <w:spacing w:after="120" w:line="240" w:lineRule="auto"/>
        <w:ind w:left="840"/>
        <w:rPr>
          <w:rFonts w:ascii="Times New Roman" w:hAnsi="Times New Roman" w:cs="Times New Roman"/>
          <w:b/>
          <w:bCs/>
          <w:sz w:val="24"/>
          <w:szCs w:val="24"/>
        </w:rPr>
      </w:pPr>
    </w:p>
    <w:p w14:paraId="15FF2DF0" w14:textId="4C4B78DC" w:rsidR="00BB7608" w:rsidRPr="00BB7608" w:rsidRDefault="00B70207" w:rsidP="00BB7608">
      <w:pPr>
        <w:pStyle w:val="ListeParagraf"/>
        <w:numPr>
          <w:ilvl w:val="0"/>
          <w:numId w:val="11"/>
        </w:numPr>
        <w:spacing w:after="120" w:line="240" w:lineRule="auto"/>
        <w:ind w:left="360" w:firstLine="0"/>
        <w:jc w:val="both"/>
        <w:rPr>
          <w:rFonts w:ascii="Times New Roman" w:hAnsi="Times New Roman" w:cs="Times New Roman"/>
          <w:bCs/>
          <w:sz w:val="24"/>
          <w:szCs w:val="24"/>
        </w:rPr>
      </w:pPr>
      <w:r>
        <w:rPr>
          <w:rFonts w:ascii="Times New Roman" w:hAnsi="Times New Roman" w:cs="Times New Roman"/>
          <w:b/>
          <w:sz w:val="24"/>
        </w:rPr>
        <w:t>ERKALKAN, E</w:t>
      </w:r>
      <w:proofErr w:type="gramStart"/>
      <w:r>
        <w:rPr>
          <w:rFonts w:ascii="Times New Roman" w:hAnsi="Times New Roman" w:cs="Times New Roman"/>
          <w:b/>
          <w:sz w:val="24"/>
        </w:rPr>
        <w:t>.,</w:t>
      </w:r>
      <w:proofErr w:type="gramEnd"/>
      <w:r>
        <w:rPr>
          <w:rFonts w:ascii="Times New Roman" w:hAnsi="Times New Roman" w:cs="Times New Roman"/>
          <w:b/>
          <w:sz w:val="24"/>
        </w:rPr>
        <w:t xml:space="preserve"> TOPUZ</w:t>
      </w:r>
      <w:r w:rsidR="00A84883" w:rsidRPr="00A84883">
        <w:rPr>
          <w:rFonts w:ascii="Times New Roman" w:hAnsi="Times New Roman" w:cs="Times New Roman"/>
          <w:sz w:val="24"/>
        </w:rPr>
        <w:t xml:space="preserve">, V., Buldu, A., 2024, </w:t>
      </w:r>
      <w:proofErr w:type="spellStart"/>
      <w:r w:rsidR="00A84883" w:rsidRPr="00550A53">
        <w:rPr>
          <w:rFonts w:ascii="Times New Roman" w:hAnsi="Times New Roman" w:cs="Times New Roman"/>
          <w:sz w:val="24"/>
        </w:rPr>
        <w:t>Addressing</w:t>
      </w:r>
      <w:proofErr w:type="spellEnd"/>
      <w:r w:rsidR="00A84883" w:rsidRPr="00550A53">
        <w:rPr>
          <w:rFonts w:ascii="Times New Roman" w:hAnsi="Times New Roman" w:cs="Times New Roman"/>
          <w:sz w:val="24"/>
        </w:rPr>
        <w:t xml:space="preserve"> </w:t>
      </w:r>
      <w:proofErr w:type="spellStart"/>
      <w:r w:rsidR="00A84883" w:rsidRPr="00550A53">
        <w:rPr>
          <w:rFonts w:ascii="Times New Roman" w:hAnsi="Times New Roman" w:cs="Times New Roman"/>
          <w:sz w:val="24"/>
        </w:rPr>
        <w:t>the</w:t>
      </w:r>
      <w:proofErr w:type="spellEnd"/>
      <w:r w:rsidR="00A84883" w:rsidRPr="00550A53">
        <w:rPr>
          <w:rFonts w:ascii="Times New Roman" w:hAnsi="Times New Roman" w:cs="Times New Roman"/>
          <w:sz w:val="24"/>
        </w:rPr>
        <w:t xml:space="preserve"> Return </w:t>
      </w:r>
      <w:proofErr w:type="spellStart"/>
      <w:r w:rsidR="00A84883" w:rsidRPr="00550A53">
        <w:rPr>
          <w:rFonts w:ascii="Times New Roman" w:hAnsi="Times New Roman" w:cs="Times New Roman"/>
          <w:sz w:val="24"/>
        </w:rPr>
        <w:t>Visit</w:t>
      </w:r>
      <w:proofErr w:type="spellEnd"/>
      <w:r w:rsidR="00A84883" w:rsidRPr="00550A53">
        <w:rPr>
          <w:rFonts w:ascii="Times New Roman" w:hAnsi="Times New Roman" w:cs="Times New Roman"/>
          <w:sz w:val="24"/>
        </w:rPr>
        <w:t xml:space="preserve"> Challenge in </w:t>
      </w:r>
      <w:proofErr w:type="spellStart"/>
      <w:r w:rsidR="00A84883" w:rsidRPr="00550A53">
        <w:rPr>
          <w:rFonts w:ascii="Times New Roman" w:hAnsi="Times New Roman" w:cs="Times New Roman"/>
          <w:sz w:val="24"/>
        </w:rPr>
        <w:t>Autonomous</w:t>
      </w:r>
      <w:proofErr w:type="spellEnd"/>
      <w:r w:rsidR="00A84883" w:rsidRPr="00550A53">
        <w:rPr>
          <w:rFonts w:ascii="Times New Roman" w:hAnsi="Times New Roman" w:cs="Times New Roman"/>
          <w:sz w:val="24"/>
        </w:rPr>
        <w:t xml:space="preserve"> </w:t>
      </w:r>
      <w:proofErr w:type="spellStart"/>
      <w:r w:rsidR="00A84883" w:rsidRPr="00550A53">
        <w:rPr>
          <w:rFonts w:ascii="Times New Roman" w:hAnsi="Times New Roman" w:cs="Times New Roman"/>
          <w:sz w:val="24"/>
        </w:rPr>
        <w:t>Flying</w:t>
      </w:r>
      <w:proofErr w:type="spellEnd"/>
      <w:r w:rsidR="00A84883" w:rsidRPr="00550A53">
        <w:rPr>
          <w:rFonts w:ascii="Times New Roman" w:hAnsi="Times New Roman" w:cs="Times New Roman"/>
          <w:sz w:val="24"/>
        </w:rPr>
        <w:t xml:space="preserve"> Ad Hoc Networks </w:t>
      </w:r>
      <w:proofErr w:type="spellStart"/>
      <w:r w:rsidR="00A84883" w:rsidRPr="00550A53">
        <w:rPr>
          <w:rFonts w:ascii="Times New Roman" w:hAnsi="Times New Roman" w:cs="Times New Roman"/>
          <w:sz w:val="24"/>
        </w:rPr>
        <w:t>Linked</w:t>
      </w:r>
      <w:proofErr w:type="spellEnd"/>
      <w:r w:rsidR="00A84883" w:rsidRPr="00550A53">
        <w:rPr>
          <w:rFonts w:ascii="Times New Roman" w:hAnsi="Times New Roman" w:cs="Times New Roman"/>
          <w:sz w:val="24"/>
        </w:rPr>
        <w:t xml:space="preserve"> </w:t>
      </w:r>
      <w:proofErr w:type="spellStart"/>
      <w:r w:rsidR="00A84883" w:rsidRPr="00550A53">
        <w:rPr>
          <w:rFonts w:ascii="Times New Roman" w:hAnsi="Times New Roman" w:cs="Times New Roman"/>
          <w:sz w:val="24"/>
        </w:rPr>
        <w:t>to</w:t>
      </w:r>
      <w:proofErr w:type="spellEnd"/>
      <w:r w:rsidR="00A84883" w:rsidRPr="00550A53">
        <w:rPr>
          <w:rFonts w:ascii="Times New Roman" w:hAnsi="Times New Roman" w:cs="Times New Roman"/>
          <w:sz w:val="24"/>
        </w:rPr>
        <w:t xml:space="preserve"> a Central Station</w:t>
      </w:r>
      <w:r w:rsidR="00A84883" w:rsidRPr="00A84883">
        <w:rPr>
          <w:rFonts w:ascii="Times New Roman" w:hAnsi="Times New Roman" w:cs="Times New Roman"/>
          <w:sz w:val="24"/>
        </w:rPr>
        <w:t xml:space="preserve">,  </w:t>
      </w:r>
      <w:proofErr w:type="spellStart"/>
      <w:r w:rsidR="00A84883" w:rsidRPr="00A84883">
        <w:rPr>
          <w:rFonts w:ascii="Times New Roman" w:hAnsi="Times New Roman" w:cs="Times New Roman"/>
          <w:sz w:val="24"/>
        </w:rPr>
        <w:t>Sensors</w:t>
      </w:r>
      <w:proofErr w:type="spellEnd"/>
      <w:r w:rsidR="00A84883" w:rsidRPr="00A84883">
        <w:rPr>
          <w:rFonts w:ascii="Times New Roman" w:hAnsi="Times New Roman" w:cs="Times New Roman"/>
          <w:sz w:val="24"/>
        </w:rPr>
        <w:t xml:space="preserve"> , vol.24, no.23, </w:t>
      </w:r>
      <w:hyperlink r:id="rId16" w:history="1">
        <w:r w:rsidR="00A84883" w:rsidRPr="00A84883">
          <w:rPr>
            <w:rStyle w:val="Kpr"/>
            <w:rFonts w:ascii="Times New Roman" w:hAnsi="Times New Roman" w:cs="Times New Roman"/>
            <w:color w:val="auto"/>
            <w:sz w:val="24"/>
          </w:rPr>
          <w:t>10.3390/s24237859</w:t>
        </w:r>
      </w:hyperlink>
      <w:r w:rsidR="00A84883" w:rsidRPr="00A84883">
        <w:rPr>
          <w:rFonts w:ascii="Times New Roman" w:hAnsi="Times New Roman" w:cs="Times New Roman"/>
          <w:sz w:val="24"/>
        </w:rPr>
        <w:t xml:space="preserve">.        </w:t>
      </w:r>
    </w:p>
    <w:p w14:paraId="31059E59" w14:textId="2203313C" w:rsidR="00A84883" w:rsidRPr="00BB7608" w:rsidRDefault="00BB7608" w:rsidP="00BB7608">
      <w:pPr>
        <w:pStyle w:val="ListeParagraf"/>
        <w:numPr>
          <w:ilvl w:val="0"/>
          <w:numId w:val="11"/>
        </w:numPr>
        <w:spacing w:after="120" w:line="240" w:lineRule="auto"/>
        <w:ind w:left="360" w:firstLine="0"/>
        <w:jc w:val="both"/>
        <w:rPr>
          <w:rFonts w:ascii="Times New Roman" w:hAnsi="Times New Roman" w:cs="Times New Roman"/>
          <w:bCs/>
          <w:sz w:val="24"/>
          <w:szCs w:val="24"/>
        </w:rPr>
      </w:pPr>
      <w:r w:rsidRPr="00BB7608">
        <w:rPr>
          <w:rFonts w:ascii="Times New Roman" w:hAnsi="Times New Roman" w:cs="Times New Roman"/>
          <w:b/>
          <w:sz w:val="24"/>
        </w:rPr>
        <w:t>Bal, Sezen</w:t>
      </w:r>
      <w:r w:rsidRPr="00BB7608">
        <w:rPr>
          <w:rFonts w:ascii="Times New Roman" w:hAnsi="Times New Roman" w:cs="Times New Roman"/>
          <w:sz w:val="24"/>
        </w:rPr>
        <w:t xml:space="preserve"> &amp; </w:t>
      </w:r>
      <w:proofErr w:type="spellStart"/>
      <w:r w:rsidRPr="00BB7608">
        <w:rPr>
          <w:rFonts w:ascii="Times New Roman" w:hAnsi="Times New Roman" w:cs="Times New Roman"/>
          <w:sz w:val="24"/>
        </w:rPr>
        <w:t>Sarıkaş</w:t>
      </w:r>
      <w:proofErr w:type="spellEnd"/>
      <w:r w:rsidRPr="00BB7608">
        <w:rPr>
          <w:rFonts w:ascii="Times New Roman" w:hAnsi="Times New Roman" w:cs="Times New Roman"/>
          <w:sz w:val="24"/>
        </w:rPr>
        <w:t xml:space="preserve">, Ali &amp; Yayla, </w:t>
      </w:r>
      <w:proofErr w:type="spellStart"/>
      <w:r w:rsidRPr="00BB7608">
        <w:rPr>
          <w:rFonts w:ascii="Times New Roman" w:hAnsi="Times New Roman" w:cs="Times New Roman"/>
          <w:sz w:val="24"/>
        </w:rPr>
        <w:t>Ayse</w:t>
      </w:r>
      <w:proofErr w:type="spellEnd"/>
      <w:r w:rsidRPr="00BB7608">
        <w:rPr>
          <w:rFonts w:ascii="Times New Roman" w:hAnsi="Times New Roman" w:cs="Times New Roman"/>
          <w:sz w:val="24"/>
        </w:rPr>
        <w:t xml:space="preserve"> &amp; </w:t>
      </w:r>
      <w:proofErr w:type="spellStart"/>
      <w:r w:rsidRPr="00BB7608">
        <w:rPr>
          <w:rFonts w:ascii="Times New Roman" w:hAnsi="Times New Roman" w:cs="Times New Roman"/>
          <w:sz w:val="24"/>
        </w:rPr>
        <w:t>Baspinar</w:t>
      </w:r>
      <w:proofErr w:type="spellEnd"/>
      <w:r w:rsidRPr="00BB7608">
        <w:rPr>
          <w:rFonts w:ascii="Times New Roman" w:hAnsi="Times New Roman" w:cs="Times New Roman"/>
          <w:sz w:val="24"/>
        </w:rPr>
        <w:t xml:space="preserve">, Ulvi &amp; Altınay, Selçuk &amp; Baba, Fevzi &amp; Erdal, Hasan &amp; Korkmaz, Hayriye. (2024). Technical </w:t>
      </w:r>
      <w:proofErr w:type="spellStart"/>
      <w:r w:rsidRPr="00BB7608">
        <w:rPr>
          <w:rFonts w:ascii="Times New Roman" w:hAnsi="Times New Roman" w:cs="Times New Roman"/>
          <w:sz w:val="24"/>
        </w:rPr>
        <w:t>teacher</w:t>
      </w:r>
      <w:proofErr w:type="spellEnd"/>
      <w:r w:rsidRPr="00BB7608">
        <w:rPr>
          <w:rFonts w:ascii="Times New Roman" w:hAnsi="Times New Roman" w:cs="Times New Roman"/>
          <w:sz w:val="24"/>
        </w:rPr>
        <w:t xml:space="preserve"> </w:t>
      </w:r>
      <w:proofErr w:type="spellStart"/>
      <w:r w:rsidRPr="00BB7608">
        <w:rPr>
          <w:rFonts w:ascii="Times New Roman" w:hAnsi="Times New Roman" w:cs="Times New Roman"/>
          <w:sz w:val="24"/>
        </w:rPr>
        <w:t>training</w:t>
      </w:r>
      <w:proofErr w:type="spellEnd"/>
      <w:r w:rsidRPr="00BB7608">
        <w:rPr>
          <w:rFonts w:ascii="Times New Roman" w:hAnsi="Times New Roman" w:cs="Times New Roman"/>
          <w:sz w:val="24"/>
        </w:rPr>
        <w:t xml:space="preserve"> program </w:t>
      </w:r>
      <w:proofErr w:type="spellStart"/>
      <w:r w:rsidRPr="00BB7608">
        <w:rPr>
          <w:rFonts w:ascii="Times New Roman" w:hAnsi="Times New Roman" w:cs="Times New Roman"/>
          <w:sz w:val="24"/>
        </w:rPr>
        <w:t>for</w:t>
      </w:r>
      <w:proofErr w:type="spellEnd"/>
      <w:r w:rsidRPr="00BB7608">
        <w:rPr>
          <w:rFonts w:ascii="Times New Roman" w:hAnsi="Times New Roman" w:cs="Times New Roman"/>
          <w:sz w:val="24"/>
        </w:rPr>
        <w:t xml:space="preserve"> </w:t>
      </w:r>
      <w:proofErr w:type="spellStart"/>
      <w:r w:rsidRPr="00BB7608">
        <w:rPr>
          <w:rFonts w:ascii="Times New Roman" w:hAnsi="Times New Roman" w:cs="Times New Roman"/>
          <w:sz w:val="24"/>
        </w:rPr>
        <w:t>engineering</w:t>
      </w:r>
      <w:proofErr w:type="spellEnd"/>
      <w:r w:rsidRPr="00BB7608">
        <w:rPr>
          <w:rFonts w:ascii="Times New Roman" w:hAnsi="Times New Roman" w:cs="Times New Roman"/>
          <w:sz w:val="24"/>
        </w:rPr>
        <w:t xml:space="preserve"> </w:t>
      </w:r>
      <w:proofErr w:type="spellStart"/>
      <w:r w:rsidRPr="00BB7608">
        <w:rPr>
          <w:rFonts w:ascii="Times New Roman" w:hAnsi="Times New Roman" w:cs="Times New Roman"/>
          <w:sz w:val="24"/>
        </w:rPr>
        <w:t>integration</w:t>
      </w:r>
      <w:proofErr w:type="spellEnd"/>
      <w:r w:rsidRPr="00BB7608">
        <w:rPr>
          <w:rFonts w:ascii="Times New Roman" w:hAnsi="Times New Roman" w:cs="Times New Roman"/>
          <w:sz w:val="24"/>
        </w:rPr>
        <w:t xml:space="preserve"> in K‐12 </w:t>
      </w:r>
      <w:proofErr w:type="spellStart"/>
      <w:r w:rsidRPr="00BB7608">
        <w:rPr>
          <w:rFonts w:ascii="Times New Roman" w:hAnsi="Times New Roman" w:cs="Times New Roman"/>
          <w:sz w:val="24"/>
        </w:rPr>
        <w:t>education</w:t>
      </w:r>
      <w:proofErr w:type="spellEnd"/>
      <w:r w:rsidRPr="00BB7608">
        <w:rPr>
          <w:rFonts w:ascii="Times New Roman" w:hAnsi="Times New Roman" w:cs="Times New Roman"/>
          <w:sz w:val="24"/>
        </w:rPr>
        <w:t xml:space="preserve">. </w:t>
      </w:r>
      <w:proofErr w:type="spellStart"/>
      <w:r w:rsidRPr="00BB7608">
        <w:rPr>
          <w:rFonts w:ascii="Times New Roman" w:hAnsi="Times New Roman" w:cs="Times New Roman"/>
          <w:sz w:val="24"/>
        </w:rPr>
        <w:t>Computer</w:t>
      </w:r>
      <w:proofErr w:type="spellEnd"/>
      <w:r w:rsidRPr="00BB7608">
        <w:rPr>
          <w:rFonts w:ascii="Times New Roman" w:hAnsi="Times New Roman" w:cs="Times New Roman"/>
          <w:sz w:val="24"/>
        </w:rPr>
        <w:t xml:space="preserve"> Applications in </w:t>
      </w:r>
      <w:proofErr w:type="spellStart"/>
      <w:r w:rsidRPr="00BB7608">
        <w:rPr>
          <w:rFonts w:ascii="Times New Roman" w:hAnsi="Times New Roman" w:cs="Times New Roman"/>
          <w:sz w:val="24"/>
        </w:rPr>
        <w:t>Engineering</w:t>
      </w:r>
      <w:proofErr w:type="spellEnd"/>
      <w:r w:rsidRPr="00BB7608">
        <w:rPr>
          <w:rFonts w:ascii="Times New Roman" w:hAnsi="Times New Roman" w:cs="Times New Roman"/>
          <w:sz w:val="24"/>
        </w:rPr>
        <w:t xml:space="preserve"> </w:t>
      </w:r>
      <w:proofErr w:type="spellStart"/>
      <w:r w:rsidRPr="00BB7608">
        <w:rPr>
          <w:rFonts w:ascii="Times New Roman" w:hAnsi="Times New Roman" w:cs="Times New Roman"/>
          <w:sz w:val="24"/>
        </w:rPr>
        <w:t>Education</w:t>
      </w:r>
      <w:proofErr w:type="spellEnd"/>
      <w:r w:rsidRPr="00BB7608">
        <w:rPr>
          <w:rFonts w:ascii="Times New Roman" w:hAnsi="Times New Roman" w:cs="Times New Roman"/>
          <w:sz w:val="24"/>
        </w:rPr>
        <w:t xml:space="preserve">. </w:t>
      </w:r>
      <w:r w:rsidR="00A84883" w:rsidRPr="00BB7608">
        <w:rPr>
          <w:rFonts w:ascii="Times New Roman" w:hAnsi="Times New Roman" w:cs="Times New Roman"/>
          <w:sz w:val="24"/>
        </w:rPr>
        <w:t xml:space="preserve">        </w:t>
      </w:r>
    </w:p>
    <w:p w14:paraId="608B953F" w14:textId="77777777" w:rsidR="004E1FBE" w:rsidRDefault="00C26299" w:rsidP="004E1FBE">
      <w:pPr>
        <w:pStyle w:val="ListeParagraf"/>
        <w:numPr>
          <w:ilvl w:val="0"/>
          <w:numId w:val="11"/>
        </w:numPr>
        <w:spacing w:after="120" w:line="240" w:lineRule="auto"/>
        <w:ind w:left="360" w:firstLine="0"/>
        <w:jc w:val="both"/>
        <w:rPr>
          <w:rFonts w:ascii="Times New Roman" w:hAnsi="Times New Roman" w:cs="Times New Roman"/>
          <w:sz w:val="24"/>
        </w:rPr>
      </w:pPr>
      <w:r w:rsidRPr="007C56CA">
        <w:rPr>
          <w:rFonts w:ascii="Times New Roman" w:hAnsi="Times New Roman" w:cs="Times New Roman"/>
          <w:b/>
          <w:sz w:val="24"/>
        </w:rPr>
        <w:t>BAL, S</w:t>
      </w:r>
      <w:proofErr w:type="gramStart"/>
      <w:r w:rsidRPr="007C56CA">
        <w:rPr>
          <w:rFonts w:ascii="Times New Roman" w:hAnsi="Times New Roman" w:cs="Times New Roman"/>
          <w:b/>
          <w:sz w:val="24"/>
        </w:rPr>
        <w:t>.,</w:t>
      </w:r>
      <w:proofErr w:type="gramEnd"/>
      <w:r w:rsidRPr="007C56CA">
        <w:rPr>
          <w:rFonts w:ascii="Times New Roman" w:hAnsi="Times New Roman" w:cs="Times New Roman"/>
          <w:sz w:val="24"/>
        </w:rPr>
        <w:t xml:space="preserve"> YAYLA, A., &amp; AKPINAR, K. N., (2024, June). “</w:t>
      </w:r>
      <w:hyperlink r:id="rId17" w:history="1">
        <w:r w:rsidRPr="007C56CA">
          <w:t>Performance Evaluation of Artificial Neural Network Maximum Power Point Tracking Algorithm for Photovoltaic Panel with Single Ended Primary Inductor Converter</w:t>
        </w:r>
      </w:hyperlink>
      <w:r w:rsidRPr="007C56CA">
        <w:rPr>
          <w:rFonts w:ascii="Times New Roman" w:hAnsi="Times New Roman" w:cs="Times New Roman"/>
          <w:sz w:val="24"/>
        </w:rPr>
        <w:t xml:space="preserve">” , 2nd International </w:t>
      </w:r>
      <w:proofErr w:type="spellStart"/>
      <w:r w:rsidRPr="007C56CA">
        <w:rPr>
          <w:rFonts w:ascii="Times New Roman" w:hAnsi="Times New Roman" w:cs="Times New Roman"/>
          <w:sz w:val="24"/>
        </w:rPr>
        <w:t>Engineering</w:t>
      </w:r>
      <w:proofErr w:type="spellEnd"/>
      <w:r w:rsidRPr="007C56CA">
        <w:rPr>
          <w:rFonts w:ascii="Times New Roman" w:hAnsi="Times New Roman" w:cs="Times New Roman"/>
          <w:sz w:val="24"/>
        </w:rPr>
        <w:t xml:space="preserve"> Conference on </w:t>
      </w:r>
      <w:proofErr w:type="spellStart"/>
      <w:r w:rsidRPr="007C56CA">
        <w:rPr>
          <w:rFonts w:ascii="Times New Roman" w:hAnsi="Times New Roman" w:cs="Times New Roman"/>
          <w:sz w:val="24"/>
        </w:rPr>
        <w:t>Electrical</w:t>
      </w:r>
      <w:proofErr w:type="spellEnd"/>
      <w:r w:rsidRPr="007C56CA">
        <w:rPr>
          <w:rFonts w:ascii="Times New Roman" w:hAnsi="Times New Roman" w:cs="Times New Roman"/>
          <w:sz w:val="24"/>
        </w:rPr>
        <w:t xml:space="preserve">, </w:t>
      </w:r>
      <w:proofErr w:type="spellStart"/>
      <w:r w:rsidRPr="007C56CA">
        <w:rPr>
          <w:rFonts w:ascii="Times New Roman" w:hAnsi="Times New Roman" w:cs="Times New Roman"/>
          <w:sz w:val="24"/>
        </w:rPr>
        <w:t>Energy</w:t>
      </w:r>
      <w:proofErr w:type="spellEnd"/>
      <w:r w:rsidRPr="007C56CA">
        <w:rPr>
          <w:rFonts w:ascii="Times New Roman" w:hAnsi="Times New Roman" w:cs="Times New Roman"/>
          <w:sz w:val="24"/>
        </w:rPr>
        <w:t xml:space="preserve">, </w:t>
      </w:r>
      <w:proofErr w:type="spellStart"/>
      <w:r w:rsidRPr="007C56CA">
        <w:rPr>
          <w:rFonts w:ascii="Times New Roman" w:hAnsi="Times New Roman" w:cs="Times New Roman"/>
          <w:sz w:val="24"/>
        </w:rPr>
        <w:t>and</w:t>
      </w:r>
      <w:proofErr w:type="spellEnd"/>
      <w:r w:rsidRPr="007C56CA">
        <w:rPr>
          <w:rFonts w:ascii="Times New Roman" w:hAnsi="Times New Roman" w:cs="Times New Roman"/>
          <w:sz w:val="24"/>
        </w:rPr>
        <w:t xml:space="preserve"> </w:t>
      </w:r>
      <w:proofErr w:type="spellStart"/>
      <w:r w:rsidRPr="007C56CA">
        <w:rPr>
          <w:rFonts w:ascii="Times New Roman" w:hAnsi="Times New Roman" w:cs="Times New Roman"/>
          <w:sz w:val="24"/>
        </w:rPr>
        <w:t>Artificial</w:t>
      </w:r>
      <w:proofErr w:type="spellEnd"/>
      <w:r w:rsidRPr="007C56CA">
        <w:rPr>
          <w:rFonts w:ascii="Times New Roman" w:hAnsi="Times New Roman" w:cs="Times New Roman"/>
          <w:sz w:val="24"/>
        </w:rPr>
        <w:t xml:space="preserve"> </w:t>
      </w:r>
      <w:proofErr w:type="spellStart"/>
      <w:r w:rsidRPr="007C56CA">
        <w:rPr>
          <w:rFonts w:ascii="Times New Roman" w:hAnsi="Times New Roman" w:cs="Times New Roman"/>
          <w:sz w:val="24"/>
        </w:rPr>
        <w:t>Intelligence</w:t>
      </w:r>
      <w:proofErr w:type="spellEnd"/>
      <w:r w:rsidRPr="007C56CA">
        <w:rPr>
          <w:rFonts w:ascii="Times New Roman" w:hAnsi="Times New Roman" w:cs="Times New Roman"/>
          <w:sz w:val="24"/>
        </w:rPr>
        <w:t xml:space="preserve">, EICEEAI </w:t>
      </w:r>
      <w:proofErr w:type="spellStart"/>
      <w:r w:rsidRPr="007C56CA">
        <w:rPr>
          <w:rFonts w:ascii="Times New Roman" w:hAnsi="Times New Roman" w:cs="Times New Roman"/>
          <w:sz w:val="24"/>
        </w:rPr>
        <w:t>December</w:t>
      </w:r>
      <w:proofErr w:type="spellEnd"/>
      <w:r w:rsidRPr="007C56CA">
        <w:rPr>
          <w:rFonts w:ascii="Times New Roman" w:hAnsi="Times New Roman" w:cs="Times New Roman"/>
          <w:sz w:val="24"/>
        </w:rPr>
        <w:t xml:space="preserve"> 2023, </w:t>
      </w:r>
      <w:proofErr w:type="spellStart"/>
      <w:r w:rsidRPr="007C56CA">
        <w:rPr>
          <w:rFonts w:ascii="Times New Roman" w:hAnsi="Times New Roman" w:cs="Times New Roman"/>
          <w:sz w:val="24"/>
        </w:rPr>
        <w:t>Zarqa</w:t>
      </w:r>
      <w:proofErr w:type="spellEnd"/>
      <w:r w:rsidRPr="007C56CA">
        <w:rPr>
          <w:rFonts w:ascii="Times New Roman" w:hAnsi="Times New Roman" w:cs="Times New Roman"/>
          <w:sz w:val="24"/>
        </w:rPr>
        <w:t>, Jordan.</w:t>
      </w:r>
    </w:p>
    <w:p w14:paraId="68A0D59A" w14:textId="133B2F20" w:rsidR="004E1FBE" w:rsidRPr="004E1FBE" w:rsidRDefault="004E1FBE" w:rsidP="004E1FBE">
      <w:pPr>
        <w:pStyle w:val="ListeParagraf"/>
        <w:numPr>
          <w:ilvl w:val="0"/>
          <w:numId w:val="11"/>
        </w:numPr>
        <w:spacing w:after="120" w:line="240" w:lineRule="auto"/>
        <w:ind w:left="360" w:firstLine="0"/>
        <w:jc w:val="both"/>
        <w:rPr>
          <w:rFonts w:ascii="Times New Roman" w:hAnsi="Times New Roman" w:cs="Times New Roman"/>
          <w:sz w:val="24"/>
        </w:rPr>
      </w:pPr>
      <w:r w:rsidRPr="004E1FBE">
        <w:rPr>
          <w:rFonts w:ascii="Times New Roman" w:hAnsi="Times New Roman" w:cs="Times New Roman"/>
          <w:b/>
          <w:sz w:val="24"/>
        </w:rPr>
        <w:t>Bal S</w:t>
      </w:r>
      <w:proofErr w:type="gramStart"/>
      <w:r w:rsidRPr="004E1FBE">
        <w:rPr>
          <w:rFonts w:ascii="Times New Roman" w:hAnsi="Times New Roman" w:cs="Times New Roman"/>
          <w:b/>
          <w:sz w:val="24"/>
        </w:rPr>
        <w:t>.,</w:t>
      </w:r>
      <w:proofErr w:type="gramEnd"/>
      <w:r w:rsidRPr="004E1FBE">
        <w:rPr>
          <w:rFonts w:ascii="Times New Roman" w:hAnsi="Times New Roman" w:cs="Times New Roman"/>
          <w:sz w:val="24"/>
        </w:rPr>
        <w:t xml:space="preserve"> Bahçeci H.; </w:t>
      </w:r>
      <w:hyperlink r:id="rId18" w:tgtFrame="_blank" w:history="1">
        <w:r w:rsidRPr="004E1FBE">
          <w:rPr>
            <w:rFonts w:ascii="Times New Roman" w:hAnsi="Times New Roman" w:cs="Times New Roman"/>
            <w:sz w:val="24"/>
          </w:rPr>
          <w:t>Arama-Kurtarma Operasyonlarında FPGA Tabanlı Hızlandırma İle Termal Görüntüleme</w:t>
        </w:r>
      </w:hyperlink>
      <w:r w:rsidRPr="004E1FBE">
        <w:rPr>
          <w:rFonts w:ascii="Times New Roman" w:hAnsi="Times New Roman" w:cs="Times New Roman"/>
          <w:sz w:val="24"/>
        </w:rPr>
        <w:t>. 3. BİLSEL INTERNATIONAL ÇATALHÖYÜK SCIENTIFIC RESEARCHES CONGRESS, Konya, Türkiye, 24 - 25 Ağustos 2024, ss.72-79</w:t>
      </w:r>
    </w:p>
    <w:p w14:paraId="2281CCF7" w14:textId="77777777" w:rsidR="004E1FBE" w:rsidRPr="007C56CA" w:rsidRDefault="004E1FBE" w:rsidP="004E1FBE">
      <w:pPr>
        <w:pStyle w:val="ListeParagraf"/>
        <w:spacing w:after="120" w:line="240" w:lineRule="auto"/>
        <w:ind w:left="360"/>
        <w:jc w:val="both"/>
        <w:rPr>
          <w:rFonts w:ascii="Times New Roman" w:hAnsi="Times New Roman" w:cs="Times New Roman"/>
          <w:sz w:val="24"/>
        </w:rPr>
      </w:pPr>
    </w:p>
    <w:p w14:paraId="2EF1EBB2" w14:textId="31F88029" w:rsidR="009975A0" w:rsidRPr="008449DC" w:rsidRDefault="00F402E8" w:rsidP="008449DC">
      <w:pPr>
        <w:spacing w:after="120" w:line="240" w:lineRule="auto"/>
        <w:ind w:left="360"/>
        <w:jc w:val="both"/>
        <w:rPr>
          <w:rFonts w:ascii="Times New Roman" w:hAnsi="Times New Roman" w:cs="Times New Roman"/>
          <w:b/>
          <w:bCs/>
          <w:sz w:val="24"/>
          <w:szCs w:val="24"/>
        </w:rPr>
      </w:pPr>
      <w:r w:rsidRPr="008449DC">
        <w:rPr>
          <w:rFonts w:ascii="Times New Roman" w:hAnsi="Times New Roman" w:cs="Times New Roman"/>
          <w:b/>
          <w:bCs/>
          <w:sz w:val="24"/>
          <w:szCs w:val="24"/>
        </w:rPr>
        <w:t>Kitap Bölümü</w:t>
      </w:r>
    </w:p>
    <w:p w14:paraId="4AAAE2D5" w14:textId="11A635CC" w:rsidR="001F44FE" w:rsidRPr="008449DC" w:rsidRDefault="00F402E8" w:rsidP="008449DC">
      <w:pPr>
        <w:spacing w:after="120" w:line="240" w:lineRule="auto"/>
        <w:ind w:left="360"/>
        <w:jc w:val="both"/>
        <w:rPr>
          <w:rFonts w:ascii="Times New Roman" w:hAnsi="Times New Roman" w:cs="Times New Roman"/>
          <w:b/>
          <w:bCs/>
          <w:sz w:val="24"/>
          <w:szCs w:val="24"/>
        </w:rPr>
      </w:pPr>
      <w:r w:rsidRPr="008449DC">
        <w:rPr>
          <w:rFonts w:ascii="Times New Roman" w:hAnsi="Times New Roman" w:cs="Times New Roman"/>
          <w:b/>
          <w:bCs/>
          <w:sz w:val="24"/>
          <w:szCs w:val="24"/>
        </w:rPr>
        <w:t>Seminer</w:t>
      </w:r>
    </w:p>
    <w:p w14:paraId="1A041310" w14:textId="7C6D526F" w:rsidR="001F44FE" w:rsidRPr="008449DC" w:rsidRDefault="00F402E8" w:rsidP="008449DC">
      <w:pPr>
        <w:spacing w:after="120" w:line="240" w:lineRule="auto"/>
        <w:ind w:left="360"/>
        <w:jc w:val="both"/>
        <w:rPr>
          <w:rFonts w:ascii="Times New Roman" w:hAnsi="Times New Roman" w:cs="Times New Roman"/>
          <w:b/>
          <w:bCs/>
          <w:sz w:val="24"/>
          <w:szCs w:val="24"/>
        </w:rPr>
      </w:pPr>
      <w:r w:rsidRPr="008449DC">
        <w:rPr>
          <w:rFonts w:ascii="Times New Roman" w:hAnsi="Times New Roman" w:cs="Times New Roman"/>
          <w:b/>
          <w:bCs/>
          <w:sz w:val="24"/>
          <w:szCs w:val="24"/>
        </w:rPr>
        <w:t>Eğitim Semineri</w:t>
      </w:r>
    </w:p>
    <w:p w14:paraId="31784D39" w14:textId="000E393A" w:rsidR="008449DC" w:rsidRPr="008449DC" w:rsidRDefault="008449DC" w:rsidP="008449DC">
      <w:pPr>
        <w:pStyle w:val="ListeParagraf"/>
        <w:spacing w:after="120" w:line="240" w:lineRule="auto"/>
        <w:ind w:left="360"/>
        <w:jc w:val="both"/>
        <w:rPr>
          <w:rFonts w:ascii="Times New Roman" w:hAnsi="Times New Roman" w:cs="Times New Roman"/>
          <w:sz w:val="24"/>
        </w:rPr>
      </w:pPr>
      <w:r>
        <w:rPr>
          <w:rFonts w:ascii="Times New Roman" w:hAnsi="Times New Roman" w:cs="Times New Roman"/>
          <w:sz w:val="24"/>
          <w:shd w:val="clear" w:color="auto" w:fill="FAFAFA"/>
        </w:rPr>
        <w:tab/>
      </w:r>
      <w:r w:rsidRPr="00B33E22">
        <w:rPr>
          <w:rFonts w:ascii="Times New Roman" w:hAnsi="Times New Roman" w:cs="Times New Roman"/>
          <w:b/>
          <w:sz w:val="24"/>
        </w:rPr>
        <w:t>Ercan ERKALKAN, Vedat TOPUZ</w:t>
      </w:r>
      <w:r w:rsidRPr="008449DC">
        <w:rPr>
          <w:rFonts w:ascii="Times New Roman" w:hAnsi="Times New Roman" w:cs="Times New Roman"/>
          <w:sz w:val="24"/>
        </w:rPr>
        <w:t>; Akademisyenler İçin Yapay </w:t>
      </w:r>
      <w:proofErr w:type="gramStart"/>
      <w:r w:rsidRPr="008449DC">
        <w:rPr>
          <w:rFonts w:ascii="Times New Roman" w:hAnsi="Times New Roman" w:cs="Times New Roman"/>
          <w:sz w:val="24"/>
        </w:rPr>
        <w:t>Zeka</w:t>
      </w:r>
      <w:proofErr w:type="gramEnd"/>
      <w:r w:rsidRPr="008449DC">
        <w:rPr>
          <w:rFonts w:ascii="Times New Roman" w:hAnsi="Times New Roman" w:cs="Times New Roman"/>
          <w:sz w:val="24"/>
        </w:rPr>
        <w:t> Araçlarının Kullanımı, 4 Aralık 2024, Çevrimiçi, İ</w:t>
      </w:r>
      <w:r w:rsidR="00FD70B1">
        <w:rPr>
          <w:rFonts w:ascii="Times New Roman" w:hAnsi="Times New Roman" w:cs="Times New Roman"/>
          <w:sz w:val="24"/>
        </w:rPr>
        <w:t>stanbul. (</w:t>
      </w:r>
      <w:hyperlink w:anchor="KANIT1" w:history="1">
        <w:r w:rsidR="00FD70B1" w:rsidRPr="004634E9">
          <w:rPr>
            <w:rStyle w:val="Kpr"/>
            <w:rFonts w:ascii="Times New Roman" w:hAnsi="Times New Roman" w:cs="Times New Roman"/>
            <w:sz w:val="24"/>
          </w:rPr>
          <w:t>Kanıt1</w:t>
        </w:r>
      </w:hyperlink>
      <w:r w:rsidR="00FD70B1">
        <w:rPr>
          <w:rFonts w:ascii="Times New Roman" w:hAnsi="Times New Roman" w:cs="Times New Roman"/>
          <w:sz w:val="24"/>
        </w:rPr>
        <w:t>)</w:t>
      </w:r>
    </w:p>
    <w:p w14:paraId="09005813" w14:textId="77777777" w:rsidR="008449DC" w:rsidRPr="00A35AE7" w:rsidRDefault="008449DC" w:rsidP="008449DC">
      <w:pPr>
        <w:pStyle w:val="ListeParagraf"/>
        <w:spacing w:after="120" w:line="240" w:lineRule="auto"/>
        <w:ind w:left="840"/>
        <w:contextualSpacing w:val="0"/>
        <w:jc w:val="both"/>
        <w:rPr>
          <w:rFonts w:ascii="Times New Roman" w:hAnsi="Times New Roman" w:cs="Times New Roman"/>
          <w:b/>
          <w:bCs/>
          <w:sz w:val="24"/>
          <w:szCs w:val="24"/>
        </w:rPr>
      </w:pPr>
    </w:p>
    <w:p w14:paraId="0269293F" w14:textId="60CFEF7F" w:rsidR="009975A0" w:rsidRPr="008449DC" w:rsidRDefault="005C7608" w:rsidP="005C7608">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E5F18" w:rsidRPr="008449DC">
        <w:rPr>
          <w:rFonts w:ascii="Times New Roman" w:hAnsi="Times New Roman" w:cs="Times New Roman"/>
          <w:b/>
          <w:bCs/>
          <w:sz w:val="24"/>
          <w:szCs w:val="24"/>
        </w:rPr>
        <w:t>Konferans</w:t>
      </w:r>
    </w:p>
    <w:p w14:paraId="13426633" w14:textId="354965C8" w:rsidR="009975A0" w:rsidRPr="008449DC" w:rsidRDefault="008449DC" w:rsidP="008449DC">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DE5F18" w:rsidRPr="008449DC">
        <w:rPr>
          <w:rFonts w:ascii="Times New Roman" w:hAnsi="Times New Roman" w:cs="Times New Roman"/>
          <w:b/>
          <w:bCs/>
          <w:sz w:val="24"/>
          <w:szCs w:val="24"/>
        </w:rPr>
        <w:t>Çalıştay</w:t>
      </w:r>
      <w:proofErr w:type="spellEnd"/>
      <w:r w:rsidR="009975A0" w:rsidRPr="008449DC">
        <w:rPr>
          <w:rFonts w:ascii="Times New Roman" w:eastAsia="Times New Roman" w:hAnsi="Times New Roman" w:cs="Times New Roman"/>
          <w:sz w:val="24"/>
          <w:szCs w:val="24"/>
        </w:rPr>
        <w:tab/>
      </w:r>
    </w:p>
    <w:p w14:paraId="37696996" w14:textId="274D3C8F" w:rsidR="009975A0" w:rsidRPr="008449DC" w:rsidRDefault="00DE5F18" w:rsidP="008449DC">
      <w:pPr>
        <w:spacing w:after="120" w:line="240" w:lineRule="auto"/>
        <w:ind w:left="360"/>
        <w:jc w:val="both"/>
        <w:rPr>
          <w:rFonts w:ascii="Times New Roman" w:hAnsi="Times New Roman" w:cs="Times New Roman"/>
          <w:b/>
          <w:bCs/>
          <w:sz w:val="24"/>
          <w:szCs w:val="24"/>
        </w:rPr>
      </w:pPr>
      <w:r w:rsidRPr="008449DC">
        <w:rPr>
          <w:rFonts w:ascii="Times New Roman" w:hAnsi="Times New Roman" w:cs="Times New Roman"/>
          <w:b/>
          <w:bCs/>
          <w:sz w:val="24"/>
          <w:szCs w:val="24"/>
        </w:rPr>
        <w:t>Panel</w:t>
      </w:r>
    </w:p>
    <w:p w14:paraId="7E1EE579" w14:textId="479472F8" w:rsidR="009975A0" w:rsidRPr="008449DC" w:rsidRDefault="00DE5F18" w:rsidP="008449DC">
      <w:pPr>
        <w:spacing w:after="120" w:line="240" w:lineRule="auto"/>
        <w:ind w:left="360"/>
        <w:jc w:val="both"/>
        <w:rPr>
          <w:rFonts w:ascii="Times New Roman" w:hAnsi="Times New Roman" w:cs="Times New Roman"/>
          <w:b/>
          <w:bCs/>
          <w:sz w:val="24"/>
          <w:szCs w:val="24"/>
        </w:rPr>
      </w:pPr>
      <w:r w:rsidRPr="008449DC">
        <w:rPr>
          <w:rFonts w:ascii="Times New Roman" w:hAnsi="Times New Roman" w:cs="Times New Roman"/>
          <w:b/>
          <w:bCs/>
          <w:sz w:val="24"/>
          <w:szCs w:val="24"/>
        </w:rPr>
        <w:t>Workshop</w:t>
      </w:r>
    </w:p>
    <w:p w14:paraId="782FCBD9" w14:textId="7F122702" w:rsidR="001F44FE" w:rsidRPr="00CD6ED2" w:rsidRDefault="00CD6ED2" w:rsidP="00CD6ED2">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E5F18" w:rsidRPr="00CD6ED2">
        <w:rPr>
          <w:rFonts w:ascii="Times New Roman" w:hAnsi="Times New Roman" w:cs="Times New Roman"/>
          <w:b/>
          <w:bCs/>
          <w:sz w:val="24"/>
          <w:szCs w:val="24"/>
        </w:rPr>
        <w:t>Teknik Gezi</w:t>
      </w:r>
    </w:p>
    <w:p w14:paraId="5A1B37A5" w14:textId="6F969413" w:rsidR="001F44FE" w:rsidRPr="008449DC" w:rsidRDefault="004C1121" w:rsidP="008449DC">
      <w:pPr>
        <w:spacing w:after="120" w:line="240" w:lineRule="auto"/>
        <w:ind w:left="360"/>
        <w:jc w:val="both"/>
        <w:rPr>
          <w:rFonts w:ascii="Times New Roman" w:hAnsi="Times New Roman" w:cs="Times New Roman"/>
          <w:b/>
          <w:bCs/>
          <w:sz w:val="24"/>
          <w:szCs w:val="24"/>
        </w:rPr>
      </w:pPr>
      <w:r w:rsidRPr="008449DC">
        <w:rPr>
          <w:rFonts w:ascii="Times New Roman" w:hAnsi="Times New Roman" w:cs="Times New Roman"/>
          <w:b/>
          <w:bCs/>
          <w:sz w:val="24"/>
          <w:szCs w:val="24"/>
        </w:rPr>
        <w:t>Uluslararası Bildiriler</w:t>
      </w:r>
    </w:p>
    <w:p w14:paraId="6A08F380" w14:textId="77777777" w:rsidR="00A474DD" w:rsidRPr="00A35AE7" w:rsidRDefault="00A474DD" w:rsidP="003247CB">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D. TOPLUMSAL KATKI</w:t>
      </w:r>
    </w:p>
    <w:p w14:paraId="3A39D6BA" w14:textId="7DDD1EDF" w:rsidR="00D16285" w:rsidRPr="00A35AE7" w:rsidRDefault="00D16285" w:rsidP="003247CB">
      <w:pPr>
        <w:spacing w:after="120" w:line="240" w:lineRule="auto"/>
        <w:rPr>
          <w:rFonts w:ascii="Times New Roman" w:hAnsi="Times New Roman" w:cs="Times New Roman"/>
          <w:b/>
          <w:bCs/>
          <w:color w:val="000000" w:themeColor="text1"/>
          <w:sz w:val="28"/>
          <w:szCs w:val="28"/>
        </w:rPr>
      </w:pPr>
      <w:bookmarkStart w:id="1" w:name="_heading=h.3p7qvqonfsc9" w:colFirst="0" w:colLast="0"/>
      <w:bookmarkStart w:id="2" w:name="_heading=h.4d34og8" w:colFirst="0" w:colLast="0"/>
      <w:bookmarkEnd w:id="1"/>
      <w:bookmarkEnd w:id="2"/>
      <w:r w:rsidRPr="00A35AE7">
        <w:rPr>
          <w:rFonts w:ascii="Times New Roman" w:hAnsi="Times New Roman" w:cs="Times New Roman"/>
          <w:b/>
          <w:bCs/>
          <w:color w:val="000000" w:themeColor="text1"/>
          <w:sz w:val="28"/>
          <w:szCs w:val="28"/>
        </w:rPr>
        <w:t>D.1. Toplumsal Katkı Süreçlerinin Yönetimi ve Toplumsal Katkı</w:t>
      </w:r>
      <w:r w:rsidR="003247CB" w:rsidRPr="00A35AE7">
        <w:rPr>
          <w:rFonts w:ascii="Times New Roman" w:hAnsi="Times New Roman" w:cs="Times New Roman"/>
          <w:b/>
          <w:bCs/>
          <w:color w:val="000000" w:themeColor="text1"/>
          <w:sz w:val="28"/>
          <w:szCs w:val="28"/>
        </w:rPr>
        <w:t xml:space="preserve"> </w:t>
      </w:r>
      <w:r w:rsidRPr="00A35AE7">
        <w:rPr>
          <w:rFonts w:ascii="Times New Roman" w:hAnsi="Times New Roman" w:cs="Times New Roman"/>
          <w:b/>
          <w:bCs/>
          <w:color w:val="000000" w:themeColor="text1"/>
          <w:sz w:val="28"/>
          <w:szCs w:val="28"/>
        </w:rPr>
        <w:t>Kaynakları</w:t>
      </w:r>
    </w:p>
    <w:p w14:paraId="57EF5DDC" w14:textId="77777777" w:rsidR="00D16285" w:rsidRPr="00A35AE7" w:rsidRDefault="00D16285" w:rsidP="003247CB">
      <w:pPr>
        <w:autoSpaceDE w:val="0"/>
        <w:autoSpaceDN w:val="0"/>
        <w:adjustRightInd w:val="0"/>
        <w:spacing w:after="120" w:line="240" w:lineRule="auto"/>
        <w:rPr>
          <w:rFonts w:ascii="Times New Roman" w:hAnsi="Times New Roman" w:cs="Times New Roman"/>
          <w:b/>
          <w:bCs/>
          <w:color w:val="000000" w:themeColor="text1"/>
          <w:sz w:val="28"/>
          <w:szCs w:val="28"/>
        </w:rPr>
      </w:pPr>
      <w:r w:rsidRPr="00A35AE7">
        <w:rPr>
          <w:rFonts w:ascii="Times New Roman" w:hAnsi="Times New Roman" w:cs="Times New Roman"/>
          <w:b/>
          <w:bCs/>
          <w:color w:val="000000" w:themeColor="text1"/>
          <w:sz w:val="28"/>
          <w:szCs w:val="28"/>
        </w:rPr>
        <w:t>D.1.1. Toplumsal katkı süreçlerinin yönetimi</w:t>
      </w:r>
    </w:p>
    <w:p w14:paraId="614C036A" w14:textId="77777777" w:rsidR="00A474DD" w:rsidRPr="00A35AE7" w:rsidRDefault="00A474DD" w:rsidP="003247CB">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D.1.2. Kaynaklar</w:t>
      </w:r>
    </w:p>
    <w:p w14:paraId="40C9A5AC" w14:textId="77777777" w:rsidR="00E212D9" w:rsidRPr="00A35AE7" w:rsidRDefault="00E212D9" w:rsidP="003247CB">
      <w:pPr>
        <w:spacing w:after="120" w:line="240" w:lineRule="auto"/>
        <w:rPr>
          <w:rFonts w:ascii="Times New Roman" w:hAnsi="Times New Roman" w:cs="Times New Roman"/>
          <w:b/>
          <w:bCs/>
          <w:color w:val="000000" w:themeColor="text1"/>
          <w:sz w:val="28"/>
          <w:szCs w:val="28"/>
        </w:rPr>
      </w:pPr>
      <w:bookmarkStart w:id="3" w:name="_heading=h.bba01zbxotn7" w:colFirst="0" w:colLast="0"/>
      <w:bookmarkStart w:id="4" w:name="_heading=h.2s8eyo1" w:colFirst="0" w:colLast="0"/>
      <w:bookmarkEnd w:id="3"/>
      <w:bookmarkEnd w:id="4"/>
      <w:r w:rsidRPr="00A35AE7">
        <w:rPr>
          <w:rFonts w:ascii="Times New Roman" w:hAnsi="Times New Roman" w:cs="Times New Roman"/>
          <w:b/>
          <w:bCs/>
          <w:color w:val="000000" w:themeColor="text1"/>
          <w:sz w:val="28"/>
          <w:szCs w:val="28"/>
        </w:rPr>
        <w:t>D.2. Toplumsal Katkı Performansı</w:t>
      </w:r>
    </w:p>
    <w:p w14:paraId="34BFE7DD" w14:textId="77777777" w:rsidR="00A474DD" w:rsidRPr="00A35AE7" w:rsidRDefault="00A474DD" w:rsidP="003247CB">
      <w:pPr>
        <w:spacing w:after="120" w:line="240" w:lineRule="auto"/>
        <w:rPr>
          <w:rFonts w:ascii="Times New Roman" w:eastAsia="Times New Roman" w:hAnsi="Times New Roman" w:cs="Times New Roman"/>
          <w:b/>
          <w:color w:val="000000" w:themeColor="text1"/>
          <w:sz w:val="28"/>
          <w:szCs w:val="28"/>
        </w:rPr>
      </w:pPr>
      <w:r w:rsidRPr="00A35AE7">
        <w:rPr>
          <w:rFonts w:ascii="Times New Roman" w:eastAsia="Times New Roman" w:hAnsi="Times New Roman" w:cs="Times New Roman"/>
          <w:b/>
          <w:color w:val="000000" w:themeColor="text1"/>
          <w:sz w:val="28"/>
          <w:szCs w:val="28"/>
        </w:rPr>
        <w:t>D.2.1.Toplumsal katkı performansının izlenmesi ve değerlendirilmesi</w:t>
      </w:r>
    </w:p>
    <w:p w14:paraId="64F4F114" w14:textId="77777777" w:rsidR="002A603E" w:rsidRPr="003247CB" w:rsidRDefault="002A603E" w:rsidP="004C1121">
      <w:pPr>
        <w:spacing w:after="120" w:line="240" w:lineRule="auto"/>
        <w:jc w:val="both"/>
        <w:rPr>
          <w:rFonts w:ascii="Times New Roman" w:hAnsi="Times New Roman" w:cs="Times New Roman"/>
          <w:sz w:val="24"/>
          <w:szCs w:val="24"/>
        </w:rPr>
      </w:pPr>
    </w:p>
    <w:p w14:paraId="592C6FCA" w14:textId="44374615" w:rsidR="0077154D" w:rsidRPr="00D401D3" w:rsidRDefault="0077154D" w:rsidP="004C1121">
      <w:pPr>
        <w:spacing w:after="120" w:line="240" w:lineRule="auto"/>
        <w:jc w:val="both"/>
        <w:rPr>
          <w:rFonts w:ascii="Times New Roman" w:hAnsi="Times New Roman" w:cs="Times New Roman"/>
          <w:b/>
          <w:bCs/>
        </w:rPr>
      </w:pPr>
    </w:p>
    <w:p w14:paraId="1AFE16AF" w14:textId="50EDB7AD" w:rsidR="00787896" w:rsidRDefault="00787896" w:rsidP="004C1121">
      <w:pPr>
        <w:spacing w:after="120" w:line="240" w:lineRule="auto"/>
        <w:jc w:val="both"/>
        <w:rPr>
          <w:rFonts w:ascii="Times New Roman" w:hAnsi="Times New Roman" w:cs="Times New Roman"/>
          <w:sz w:val="24"/>
          <w:szCs w:val="24"/>
        </w:rPr>
      </w:pPr>
    </w:p>
    <w:p w14:paraId="4AAC3E9D" w14:textId="4CEAF3E9" w:rsidR="008061EF" w:rsidRDefault="008061EF" w:rsidP="004C1121">
      <w:pPr>
        <w:spacing w:after="120" w:line="240" w:lineRule="auto"/>
        <w:jc w:val="both"/>
        <w:rPr>
          <w:rFonts w:ascii="Times New Roman" w:hAnsi="Times New Roman" w:cs="Times New Roman"/>
          <w:sz w:val="24"/>
          <w:szCs w:val="24"/>
        </w:rPr>
      </w:pPr>
    </w:p>
    <w:p w14:paraId="6C9C1A8B" w14:textId="3BB32BBA" w:rsidR="008061EF" w:rsidRDefault="008061EF" w:rsidP="004C1121">
      <w:pPr>
        <w:spacing w:after="120" w:line="240" w:lineRule="auto"/>
        <w:jc w:val="both"/>
        <w:rPr>
          <w:rFonts w:ascii="Times New Roman" w:hAnsi="Times New Roman" w:cs="Times New Roman"/>
          <w:sz w:val="24"/>
          <w:szCs w:val="24"/>
        </w:rPr>
      </w:pPr>
    </w:p>
    <w:p w14:paraId="63A14154" w14:textId="3C542DA6" w:rsidR="008061EF" w:rsidRDefault="008061EF" w:rsidP="004C1121">
      <w:pPr>
        <w:spacing w:after="120" w:line="240" w:lineRule="auto"/>
        <w:jc w:val="both"/>
        <w:rPr>
          <w:rFonts w:ascii="Times New Roman" w:hAnsi="Times New Roman" w:cs="Times New Roman"/>
          <w:sz w:val="24"/>
          <w:szCs w:val="24"/>
        </w:rPr>
      </w:pPr>
    </w:p>
    <w:p w14:paraId="046815FF" w14:textId="28207F33" w:rsidR="008061EF" w:rsidRDefault="008061EF" w:rsidP="004C1121">
      <w:pPr>
        <w:spacing w:after="120" w:line="240" w:lineRule="auto"/>
        <w:jc w:val="both"/>
        <w:rPr>
          <w:rFonts w:ascii="Times New Roman" w:hAnsi="Times New Roman" w:cs="Times New Roman"/>
          <w:sz w:val="24"/>
          <w:szCs w:val="24"/>
        </w:rPr>
      </w:pPr>
    </w:p>
    <w:p w14:paraId="01BC9DC6" w14:textId="3BFD6B07" w:rsidR="008061EF" w:rsidRDefault="008061EF" w:rsidP="004C1121">
      <w:pPr>
        <w:spacing w:after="120" w:line="240" w:lineRule="auto"/>
        <w:jc w:val="both"/>
        <w:rPr>
          <w:rFonts w:ascii="Times New Roman" w:hAnsi="Times New Roman" w:cs="Times New Roman"/>
          <w:sz w:val="24"/>
          <w:szCs w:val="24"/>
        </w:rPr>
      </w:pPr>
    </w:p>
    <w:p w14:paraId="03FFCAEF" w14:textId="0718DFB6" w:rsidR="008061EF" w:rsidRDefault="008061EF" w:rsidP="004C1121">
      <w:pPr>
        <w:spacing w:after="120" w:line="240" w:lineRule="auto"/>
        <w:jc w:val="both"/>
        <w:rPr>
          <w:rFonts w:ascii="Times New Roman" w:hAnsi="Times New Roman" w:cs="Times New Roman"/>
          <w:sz w:val="24"/>
          <w:szCs w:val="24"/>
        </w:rPr>
      </w:pPr>
    </w:p>
    <w:p w14:paraId="604AF506" w14:textId="36A6D1F4" w:rsidR="008061EF" w:rsidRDefault="008061EF" w:rsidP="004C1121">
      <w:pPr>
        <w:spacing w:after="120" w:line="240" w:lineRule="auto"/>
        <w:jc w:val="both"/>
        <w:rPr>
          <w:rFonts w:ascii="Times New Roman" w:hAnsi="Times New Roman" w:cs="Times New Roman"/>
          <w:sz w:val="24"/>
          <w:szCs w:val="24"/>
        </w:rPr>
      </w:pPr>
    </w:p>
    <w:p w14:paraId="38D15143" w14:textId="5B295EC2" w:rsidR="008061EF" w:rsidRPr="0084182B" w:rsidRDefault="008061EF" w:rsidP="004C1121">
      <w:pPr>
        <w:spacing w:after="120" w:line="240" w:lineRule="auto"/>
        <w:jc w:val="both"/>
        <w:rPr>
          <w:rFonts w:ascii="Times New Roman" w:hAnsi="Times New Roman" w:cs="Times New Roman"/>
          <w:b/>
          <w:sz w:val="24"/>
          <w:szCs w:val="24"/>
        </w:rPr>
      </w:pPr>
      <w:r w:rsidRPr="0084182B">
        <w:rPr>
          <w:rFonts w:ascii="Times New Roman" w:hAnsi="Times New Roman" w:cs="Times New Roman"/>
          <w:b/>
          <w:sz w:val="24"/>
          <w:szCs w:val="24"/>
        </w:rPr>
        <w:t>EKLER</w:t>
      </w:r>
    </w:p>
    <w:p w14:paraId="5D252126" w14:textId="7475A57D" w:rsidR="008061EF" w:rsidRPr="0084182B" w:rsidRDefault="008061EF" w:rsidP="004C1121">
      <w:pPr>
        <w:spacing w:after="120" w:line="240" w:lineRule="auto"/>
        <w:jc w:val="both"/>
        <w:rPr>
          <w:rFonts w:ascii="Times New Roman" w:hAnsi="Times New Roman" w:cs="Times New Roman"/>
          <w:b/>
          <w:sz w:val="24"/>
          <w:szCs w:val="24"/>
        </w:rPr>
      </w:pPr>
    </w:p>
    <w:p w14:paraId="605AA1D2" w14:textId="4A6BD5AE" w:rsidR="008061EF" w:rsidRPr="0084182B" w:rsidRDefault="008061EF" w:rsidP="004C1121">
      <w:pPr>
        <w:spacing w:after="120" w:line="240" w:lineRule="auto"/>
        <w:jc w:val="both"/>
        <w:rPr>
          <w:rFonts w:ascii="Times New Roman" w:hAnsi="Times New Roman" w:cs="Times New Roman"/>
          <w:b/>
          <w:sz w:val="24"/>
          <w:szCs w:val="24"/>
        </w:rPr>
      </w:pPr>
      <w:bookmarkStart w:id="5" w:name="KANIT1"/>
      <w:r w:rsidRPr="0084182B">
        <w:rPr>
          <w:rFonts w:ascii="Times New Roman" w:hAnsi="Times New Roman" w:cs="Times New Roman"/>
          <w:b/>
          <w:sz w:val="24"/>
          <w:szCs w:val="24"/>
        </w:rPr>
        <w:t xml:space="preserve">KANIT 1: </w:t>
      </w:r>
      <w:r w:rsidR="00FD70B1">
        <w:rPr>
          <w:rFonts w:ascii="Times New Roman" w:hAnsi="Times New Roman" w:cs="Times New Roman"/>
          <w:b/>
          <w:sz w:val="24"/>
          <w:szCs w:val="24"/>
        </w:rPr>
        <w:t>SEMİNER AFİŞİ</w:t>
      </w:r>
    </w:p>
    <w:bookmarkEnd w:id="5"/>
    <w:p w14:paraId="4A702FC7" w14:textId="28C567E5" w:rsidR="00326CB2" w:rsidRPr="00D401D3" w:rsidRDefault="00326CB2" w:rsidP="004C1121">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16F3FC2" wp14:editId="68301C84">
            <wp:extent cx="3475854" cy="2848589"/>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91546" cy="2861449"/>
                    </a:xfrm>
                    <a:prstGeom prst="rect">
                      <a:avLst/>
                    </a:prstGeom>
                    <a:noFill/>
                    <a:ln>
                      <a:noFill/>
                    </a:ln>
                  </pic:spPr>
                </pic:pic>
              </a:graphicData>
            </a:graphic>
          </wp:inline>
        </w:drawing>
      </w:r>
    </w:p>
    <w:sectPr w:rsidR="00326CB2" w:rsidRPr="00D40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erW04-Regular">
    <w:altName w:val="Calibri"/>
    <w:panose1 w:val="00000000000000000000"/>
    <w:charset w:val="A2"/>
    <w:family w:val="swiss"/>
    <w:notTrueType/>
    <w:pitch w:val="default"/>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8A2"/>
    <w:multiLevelType w:val="hybridMultilevel"/>
    <w:tmpl w:val="0AD4C02C"/>
    <w:lvl w:ilvl="0" w:tplc="041F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1A6941"/>
    <w:multiLevelType w:val="hybridMultilevel"/>
    <w:tmpl w:val="6DAE2844"/>
    <w:lvl w:ilvl="0" w:tplc="041F0011">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346B1A"/>
    <w:multiLevelType w:val="hybridMultilevel"/>
    <w:tmpl w:val="46D6E6A8"/>
    <w:lvl w:ilvl="0" w:tplc="9CB8A686">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445068"/>
    <w:multiLevelType w:val="multilevel"/>
    <w:tmpl w:val="B9907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F82E5D"/>
    <w:multiLevelType w:val="hybridMultilevel"/>
    <w:tmpl w:val="A0E03F86"/>
    <w:lvl w:ilvl="0" w:tplc="041F0011">
      <w:start w:val="1"/>
      <w:numFmt w:val="decimal"/>
      <w:lvlText w:val="%1)"/>
      <w:lvlJc w:val="left"/>
      <w:pPr>
        <w:ind w:left="2911"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2D9046B"/>
    <w:multiLevelType w:val="hybridMultilevel"/>
    <w:tmpl w:val="4C70D144"/>
    <w:lvl w:ilvl="0" w:tplc="041F0011">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7A45B2"/>
    <w:multiLevelType w:val="hybridMultilevel"/>
    <w:tmpl w:val="EB385F3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6A3E3F"/>
    <w:multiLevelType w:val="hybridMultilevel"/>
    <w:tmpl w:val="4D809E78"/>
    <w:lvl w:ilvl="0" w:tplc="041F0011">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A7426D"/>
    <w:multiLevelType w:val="multilevel"/>
    <w:tmpl w:val="2536F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511D0D"/>
    <w:multiLevelType w:val="multilevel"/>
    <w:tmpl w:val="4C4C5F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926D98"/>
    <w:multiLevelType w:val="hybridMultilevel"/>
    <w:tmpl w:val="689ED498"/>
    <w:lvl w:ilvl="0" w:tplc="041F0011">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463B75"/>
    <w:multiLevelType w:val="multilevel"/>
    <w:tmpl w:val="49A8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B093259"/>
    <w:multiLevelType w:val="multilevel"/>
    <w:tmpl w:val="950215C4"/>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5C1C692C"/>
    <w:multiLevelType w:val="hybridMultilevel"/>
    <w:tmpl w:val="08A60A20"/>
    <w:lvl w:ilvl="0" w:tplc="041F000F">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521A25"/>
    <w:multiLevelType w:val="hybridMultilevel"/>
    <w:tmpl w:val="C3C8441E"/>
    <w:lvl w:ilvl="0" w:tplc="B860DFB6">
      <w:start w:val="202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E83DE6"/>
    <w:multiLevelType w:val="hybridMultilevel"/>
    <w:tmpl w:val="A9C8D842"/>
    <w:lvl w:ilvl="0" w:tplc="041F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496263"/>
    <w:multiLevelType w:val="hybridMultilevel"/>
    <w:tmpl w:val="79449F48"/>
    <w:lvl w:ilvl="0" w:tplc="9CB8A686">
      <w:start w:val="1"/>
      <w:numFmt w:val="decimal"/>
      <w:lvlText w:val="%1."/>
      <w:lvlJc w:val="left"/>
      <w:pPr>
        <w:ind w:left="720" w:hanging="360"/>
      </w:pPr>
      <w:rPr>
        <w:color w:val="auto"/>
      </w:rPr>
    </w:lvl>
    <w:lvl w:ilvl="1" w:tplc="041F0011">
      <w:start w:val="1"/>
      <w:numFmt w:val="decimal"/>
      <w:lvlText w:val="%2)"/>
      <w:lvlJc w:val="left"/>
      <w:pPr>
        <w:ind w:left="1440" w:hanging="360"/>
      </w:pPr>
      <w:rPr>
        <w:b w:val="0"/>
        <w:color w:val="auto"/>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707F0527"/>
    <w:multiLevelType w:val="hybridMultilevel"/>
    <w:tmpl w:val="D79ACE9E"/>
    <w:lvl w:ilvl="0" w:tplc="041F0011">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9019E4"/>
    <w:multiLevelType w:val="multilevel"/>
    <w:tmpl w:val="E6F61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59C3213"/>
    <w:multiLevelType w:val="multilevel"/>
    <w:tmpl w:val="88D61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3C6A19"/>
    <w:multiLevelType w:val="hybridMultilevel"/>
    <w:tmpl w:val="06E84796"/>
    <w:lvl w:ilvl="0" w:tplc="041F0011">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1D6158"/>
    <w:multiLevelType w:val="multilevel"/>
    <w:tmpl w:val="69021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2"/>
  </w:num>
  <w:num w:numId="3">
    <w:abstractNumId w:val="9"/>
  </w:num>
  <w:num w:numId="4">
    <w:abstractNumId w:val="11"/>
  </w:num>
  <w:num w:numId="5">
    <w:abstractNumId w:val="3"/>
  </w:num>
  <w:num w:numId="6">
    <w:abstractNumId w:val="19"/>
  </w:num>
  <w:num w:numId="7">
    <w:abstractNumId w:val="17"/>
  </w:num>
  <w:num w:numId="8">
    <w:abstractNumId w:val="15"/>
  </w:num>
  <w:num w:numId="9">
    <w:abstractNumId w:val="13"/>
  </w:num>
  <w:num w:numId="10">
    <w:abstractNumId w:val="0"/>
  </w:num>
  <w:num w:numId="11">
    <w:abstractNumId w:val="4"/>
  </w:num>
  <w:num w:numId="12">
    <w:abstractNumId w:val="20"/>
  </w:num>
  <w:num w:numId="13">
    <w:abstractNumId w:val="1"/>
  </w:num>
  <w:num w:numId="14">
    <w:abstractNumId w:val="7"/>
  </w:num>
  <w:num w:numId="15">
    <w:abstractNumId w:val="5"/>
  </w:num>
  <w:num w:numId="16">
    <w:abstractNumId w:val="6"/>
  </w:num>
  <w:num w:numId="17">
    <w:abstractNumId w:val="16"/>
  </w:num>
  <w:num w:numId="18">
    <w:abstractNumId w:val="10"/>
  </w:num>
  <w:num w:numId="19">
    <w:abstractNumId w:val="8"/>
  </w:num>
  <w:num w:numId="20">
    <w:abstractNumId w:val="21"/>
  </w:num>
  <w:num w:numId="21">
    <w:abstractNumId w:val="18"/>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87"/>
    <w:rsid w:val="00010217"/>
    <w:rsid w:val="00010737"/>
    <w:rsid w:val="0001421D"/>
    <w:rsid w:val="00062577"/>
    <w:rsid w:val="000628A8"/>
    <w:rsid w:val="00083B10"/>
    <w:rsid w:val="000A31EF"/>
    <w:rsid w:val="000A6368"/>
    <w:rsid w:val="000D3FFF"/>
    <w:rsid w:val="000E0E09"/>
    <w:rsid w:val="000E6463"/>
    <w:rsid w:val="000E666B"/>
    <w:rsid w:val="00155655"/>
    <w:rsid w:val="0016378C"/>
    <w:rsid w:val="00187782"/>
    <w:rsid w:val="0019138F"/>
    <w:rsid w:val="001A49FB"/>
    <w:rsid w:val="001A5F81"/>
    <w:rsid w:val="001C76C3"/>
    <w:rsid w:val="001E6632"/>
    <w:rsid w:val="001F44FE"/>
    <w:rsid w:val="001F534C"/>
    <w:rsid w:val="00201B4E"/>
    <w:rsid w:val="00201F14"/>
    <w:rsid w:val="0021770F"/>
    <w:rsid w:val="002313FE"/>
    <w:rsid w:val="002321B7"/>
    <w:rsid w:val="00235124"/>
    <w:rsid w:val="00236F1E"/>
    <w:rsid w:val="00240DB4"/>
    <w:rsid w:val="00241116"/>
    <w:rsid w:val="00254CEA"/>
    <w:rsid w:val="00274498"/>
    <w:rsid w:val="002927FD"/>
    <w:rsid w:val="002963A2"/>
    <w:rsid w:val="002A603E"/>
    <w:rsid w:val="002B73E3"/>
    <w:rsid w:val="002D11B8"/>
    <w:rsid w:val="002F1AD6"/>
    <w:rsid w:val="002F5F27"/>
    <w:rsid w:val="00302596"/>
    <w:rsid w:val="00306D13"/>
    <w:rsid w:val="00311697"/>
    <w:rsid w:val="00320C18"/>
    <w:rsid w:val="003247CB"/>
    <w:rsid w:val="00325D03"/>
    <w:rsid w:val="00326CB2"/>
    <w:rsid w:val="003610D5"/>
    <w:rsid w:val="00361A9F"/>
    <w:rsid w:val="00381E60"/>
    <w:rsid w:val="00385C11"/>
    <w:rsid w:val="00392999"/>
    <w:rsid w:val="003A7368"/>
    <w:rsid w:val="003C7305"/>
    <w:rsid w:val="003F377B"/>
    <w:rsid w:val="00415B02"/>
    <w:rsid w:val="00443F6B"/>
    <w:rsid w:val="0044429F"/>
    <w:rsid w:val="004634E9"/>
    <w:rsid w:val="00463762"/>
    <w:rsid w:val="00463D8F"/>
    <w:rsid w:val="00464C69"/>
    <w:rsid w:val="00475224"/>
    <w:rsid w:val="004930FB"/>
    <w:rsid w:val="004C070B"/>
    <w:rsid w:val="004C1121"/>
    <w:rsid w:val="004C1E69"/>
    <w:rsid w:val="004D3481"/>
    <w:rsid w:val="004D45EF"/>
    <w:rsid w:val="004D59F0"/>
    <w:rsid w:val="004E1FBE"/>
    <w:rsid w:val="004E3835"/>
    <w:rsid w:val="004E7712"/>
    <w:rsid w:val="004F1057"/>
    <w:rsid w:val="004F67F2"/>
    <w:rsid w:val="005429FC"/>
    <w:rsid w:val="00550A53"/>
    <w:rsid w:val="00554E57"/>
    <w:rsid w:val="00561FEC"/>
    <w:rsid w:val="00562E44"/>
    <w:rsid w:val="005656F8"/>
    <w:rsid w:val="00583117"/>
    <w:rsid w:val="005A08F8"/>
    <w:rsid w:val="005B34A6"/>
    <w:rsid w:val="005C7608"/>
    <w:rsid w:val="005D100F"/>
    <w:rsid w:val="005D4A27"/>
    <w:rsid w:val="005F1042"/>
    <w:rsid w:val="005F5B3A"/>
    <w:rsid w:val="006061FB"/>
    <w:rsid w:val="006153C7"/>
    <w:rsid w:val="00635EB3"/>
    <w:rsid w:val="00637940"/>
    <w:rsid w:val="00664703"/>
    <w:rsid w:val="0069219E"/>
    <w:rsid w:val="006A354E"/>
    <w:rsid w:val="006C6301"/>
    <w:rsid w:val="006D1A0D"/>
    <w:rsid w:val="006F30F2"/>
    <w:rsid w:val="006F5C91"/>
    <w:rsid w:val="00706721"/>
    <w:rsid w:val="00711AF5"/>
    <w:rsid w:val="007212B4"/>
    <w:rsid w:val="007420C0"/>
    <w:rsid w:val="007436A2"/>
    <w:rsid w:val="00747E5A"/>
    <w:rsid w:val="0077154D"/>
    <w:rsid w:val="00774050"/>
    <w:rsid w:val="00787896"/>
    <w:rsid w:val="007A051B"/>
    <w:rsid w:val="007A135A"/>
    <w:rsid w:val="007A5584"/>
    <w:rsid w:val="007B0056"/>
    <w:rsid w:val="007C56CA"/>
    <w:rsid w:val="007E3116"/>
    <w:rsid w:val="00800F5B"/>
    <w:rsid w:val="008061EF"/>
    <w:rsid w:val="00823ED5"/>
    <w:rsid w:val="00827FDC"/>
    <w:rsid w:val="00833987"/>
    <w:rsid w:val="00840112"/>
    <w:rsid w:val="0084061F"/>
    <w:rsid w:val="0084182B"/>
    <w:rsid w:val="008449DC"/>
    <w:rsid w:val="00861A7C"/>
    <w:rsid w:val="008661B8"/>
    <w:rsid w:val="00882B4E"/>
    <w:rsid w:val="008874F8"/>
    <w:rsid w:val="008B15E7"/>
    <w:rsid w:val="008B1BFE"/>
    <w:rsid w:val="008B3178"/>
    <w:rsid w:val="008B4FFD"/>
    <w:rsid w:val="008C6CC8"/>
    <w:rsid w:val="008C7B0C"/>
    <w:rsid w:val="008D53AF"/>
    <w:rsid w:val="008E139F"/>
    <w:rsid w:val="00910AFA"/>
    <w:rsid w:val="00915736"/>
    <w:rsid w:val="00915996"/>
    <w:rsid w:val="009323E8"/>
    <w:rsid w:val="00950FE9"/>
    <w:rsid w:val="0095590C"/>
    <w:rsid w:val="00961B7C"/>
    <w:rsid w:val="009779E6"/>
    <w:rsid w:val="00981980"/>
    <w:rsid w:val="00983DE4"/>
    <w:rsid w:val="0099483D"/>
    <w:rsid w:val="00995A04"/>
    <w:rsid w:val="009975A0"/>
    <w:rsid w:val="009A2BBF"/>
    <w:rsid w:val="009B360B"/>
    <w:rsid w:val="009B7CFA"/>
    <w:rsid w:val="009D624D"/>
    <w:rsid w:val="00A13BA3"/>
    <w:rsid w:val="00A17F7F"/>
    <w:rsid w:val="00A27801"/>
    <w:rsid w:val="00A35AE7"/>
    <w:rsid w:val="00A44FB8"/>
    <w:rsid w:val="00A474DD"/>
    <w:rsid w:val="00A61E15"/>
    <w:rsid w:val="00A84883"/>
    <w:rsid w:val="00A9455D"/>
    <w:rsid w:val="00AA11E9"/>
    <w:rsid w:val="00AA2DA4"/>
    <w:rsid w:val="00AB616A"/>
    <w:rsid w:val="00AD1519"/>
    <w:rsid w:val="00AE15CA"/>
    <w:rsid w:val="00AF1814"/>
    <w:rsid w:val="00AF1FD3"/>
    <w:rsid w:val="00B23397"/>
    <w:rsid w:val="00B25680"/>
    <w:rsid w:val="00B2585F"/>
    <w:rsid w:val="00B33573"/>
    <w:rsid w:val="00B33E22"/>
    <w:rsid w:val="00B36C26"/>
    <w:rsid w:val="00B4736E"/>
    <w:rsid w:val="00B61714"/>
    <w:rsid w:val="00B70207"/>
    <w:rsid w:val="00B76C31"/>
    <w:rsid w:val="00B954BF"/>
    <w:rsid w:val="00BA7FBA"/>
    <w:rsid w:val="00BB33CE"/>
    <w:rsid w:val="00BB3DE0"/>
    <w:rsid w:val="00BB5641"/>
    <w:rsid w:val="00BB7608"/>
    <w:rsid w:val="00BD0239"/>
    <w:rsid w:val="00BD2CB6"/>
    <w:rsid w:val="00BE2350"/>
    <w:rsid w:val="00BF1182"/>
    <w:rsid w:val="00C02F3D"/>
    <w:rsid w:val="00C10F99"/>
    <w:rsid w:val="00C24100"/>
    <w:rsid w:val="00C26299"/>
    <w:rsid w:val="00C3173D"/>
    <w:rsid w:val="00C55032"/>
    <w:rsid w:val="00C62DE4"/>
    <w:rsid w:val="00C77C90"/>
    <w:rsid w:val="00C803A8"/>
    <w:rsid w:val="00C80C64"/>
    <w:rsid w:val="00C87D2D"/>
    <w:rsid w:val="00C95A96"/>
    <w:rsid w:val="00C97B45"/>
    <w:rsid w:val="00CA6A14"/>
    <w:rsid w:val="00CB4D4F"/>
    <w:rsid w:val="00CB664C"/>
    <w:rsid w:val="00CC09F1"/>
    <w:rsid w:val="00CD2F4F"/>
    <w:rsid w:val="00CD3042"/>
    <w:rsid w:val="00CD6ED2"/>
    <w:rsid w:val="00CE27E2"/>
    <w:rsid w:val="00CE420B"/>
    <w:rsid w:val="00CE5D37"/>
    <w:rsid w:val="00CF21A6"/>
    <w:rsid w:val="00D0045F"/>
    <w:rsid w:val="00D16285"/>
    <w:rsid w:val="00D17336"/>
    <w:rsid w:val="00D23484"/>
    <w:rsid w:val="00D401D3"/>
    <w:rsid w:val="00D42062"/>
    <w:rsid w:val="00D51226"/>
    <w:rsid w:val="00D60194"/>
    <w:rsid w:val="00D66D01"/>
    <w:rsid w:val="00DB2281"/>
    <w:rsid w:val="00DB637B"/>
    <w:rsid w:val="00DE0B5B"/>
    <w:rsid w:val="00DE5F18"/>
    <w:rsid w:val="00E058B1"/>
    <w:rsid w:val="00E10AD1"/>
    <w:rsid w:val="00E16E90"/>
    <w:rsid w:val="00E2077A"/>
    <w:rsid w:val="00E212D9"/>
    <w:rsid w:val="00E373D3"/>
    <w:rsid w:val="00E46CF7"/>
    <w:rsid w:val="00E76A16"/>
    <w:rsid w:val="00E83B2C"/>
    <w:rsid w:val="00ED1D42"/>
    <w:rsid w:val="00EF0F89"/>
    <w:rsid w:val="00F0591F"/>
    <w:rsid w:val="00F05D31"/>
    <w:rsid w:val="00F20845"/>
    <w:rsid w:val="00F402E8"/>
    <w:rsid w:val="00F64590"/>
    <w:rsid w:val="00F7467F"/>
    <w:rsid w:val="00F948DE"/>
    <w:rsid w:val="00FA3F84"/>
    <w:rsid w:val="00FA781E"/>
    <w:rsid w:val="00FD70B1"/>
    <w:rsid w:val="00FE0BD4"/>
    <w:rsid w:val="00FE2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786E"/>
  <w15:chartTrackingRefBased/>
  <w15:docId w15:val="{B211ED4A-61FD-446A-BEEF-251DCCC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3398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3398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33987"/>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33987"/>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33987"/>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3398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3398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3398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3398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398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3398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3398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3398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3398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3398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3398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3398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33987"/>
    <w:rPr>
      <w:rFonts w:eastAsiaTheme="majorEastAsia" w:cstheme="majorBidi"/>
      <w:color w:val="272727" w:themeColor="text1" w:themeTint="D8"/>
    </w:rPr>
  </w:style>
  <w:style w:type="paragraph" w:styleId="KonuBal">
    <w:name w:val="Title"/>
    <w:basedOn w:val="Normal"/>
    <w:next w:val="Normal"/>
    <w:link w:val="KonuBalChar"/>
    <w:uiPriority w:val="10"/>
    <w:qFormat/>
    <w:rsid w:val="00833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3398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3398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3398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3398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33987"/>
    <w:rPr>
      <w:i/>
      <w:iCs/>
      <w:color w:val="404040" w:themeColor="text1" w:themeTint="BF"/>
    </w:rPr>
  </w:style>
  <w:style w:type="paragraph" w:styleId="ListeParagraf">
    <w:name w:val="List Paragraph"/>
    <w:basedOn w:val="Normal"/>
    <w:link w:val="ListeParagrafChar"/>
    <w:uiPriority w:val="34"/>
    <w:qFormat/>
    <w:rsid w:val="00833987"/>
    <w:pPr>
      <w:ind w:left="720"/>
      <w:contextualSpacing/>
    </w:pPr>
  </w:style>
  <w:style w:type="character" w:styleId="GlVurgulama">
    <w:name w:val="Intense Emphasis"/>
    <w:basedOn w:val="VarsaylanParagrafYazTipi"/>
    <w:uiPriority w:val="21"/>
    <w:qFormat/>
    <w:rsid w:val="00833987"/>
    <w:rPr>
      <w:i/>
      <w:iCs/>
      <w:color w:val="2E74B5" w:themeColor="accent1" w:themeShade="BF"/>
    </w:rPr>
  </w:style>
  <w:style w:type="paragraph" w:styleId="GlAlnt">
    <w:name w:val="Intense Quote"/>
    <w:basedOn w:val="Normal"/>
    <w:next w:val="Normal"/>
    <w:link w:val="GlAlntChar"/>
    <w:uiPriority w:val="30"/>
    <w:qFormat/>
    <w:rsid w:val="0083398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33987"/>
    <w:rPr>
      <w:i/>
      <w:iCs/>
      <w:color w:val="2E74B5" w:themeColor="accent1" w:themeShade="BF"/>
    </w:rPr>
  </w:style>
  <w:style w:type="character" w:styleId="GlBavuru">
    <w:name w:val="Intense Reference"/>
    <w:basedOn w:val="VarsaylanParagrafYazTipi"/>
    <w:uiPriority w:val="32"/>
    <w:qFormat/>
    <w:rsid w:val="00833987"/>
    <w:rPr>
      <w:b/>
      <w:bCs/>
      <w:smallCaps/>
      <w:color w:val="2E74B5" w:themeColor="accent1" w:themeShade="BF"/>
      <w:spacing w:val="5"/>
    </w:rPr>
  </w:style>
  <w:style w:type="character" w:styleId="Kpr">
    <w:name w:val="Hyperlink"/>
    <w:basedOn w:val="VarsaylanParagrafYazTipi"/>
    <w:uiPriority w:val="99"/>
    <w:unhideWhenUsed/>
    <w:rsid w:val="00833987"/>
    <w:rPr>
      <w:color w:val="0563C1" w:themeColor="hyperlink"/>
      <w:u w:val="single"/>
    </w:rPr>
  </w:style>
  <w:style w:type="character" w:customStyle="1" w:styleId="UnresolvedMention1">
    <w:name w:val="Unresolved Mention1"/>
    <w:basedOn w:val="VarsaylanParagrafYazTipi"/>
    <w:uiPriority w:val="99"/>
    <w:semiHidden/>
    <w:unhideWhenUsed/>
    <w:rsid w:val="00833987"/>
    <w:rPr>
      <w:color w:val="605E5C"/>
      <w:shd w:val="clear" w:color="auto" w:fill="E1DFDD"/>
    </w:rPr>
  </w:style>
  <w:style w:type="character" w:customStyle="1" w:styleId="ListeParagrafChar">
    <w:name w:val="Liste Paragraf Char"/>
    <w:basedOn w:val="VarsaylanParagrafYazTipi"/>
    <w:link w:val="ListeParagraf"/>
    <w:uiPriority w:val="34"/>
    <w:locked/>
    <w:rsid w:val="000E0E09"/>
  </w:style>
  <w:style w:type="paragraph" w:styleId="NormalWeb">
    <w:name w:val="Normal (Web)"/>
    <w:basedOn w:val="Normal"/>
    <w:uiPriority w:val="99"/>
    <w:unhideWhenUsed/>
    <w:rsid w:val="001F44F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stBilgi">
    <w:name w:val="header"/>
    <w:basedOn w:val="Normal"/>
    <w:link w:val="stBilgiChar"/>
    <w:uiPriority w:val="99"/>
    <w:unhideWhenUsed/>
    <w:rsid w:val="0069219E"/>
    <w:pPr>
      <w:tabs>
        <w:tab w:val="center" w:pos="4680"/>
        <w:tab w:val="right" w:pos="9360"/>
      </w:tabs>
      <w:spacing w:after="0" w:line="240" w:lineRule="auto"/>
    </w:pPr>
    <w:rPr>
      <w:kern w:val="0"/>
      <w14:ligatures w14:val="none"/>
    </w:rPr>
  </w:style>
  <w:style w:type="character" w:customStyle="1" w:styleId="stBilgiChar">
    <w:name w:val="Üst Bilgi Char"/>
    <w:basedOn w:val="VarsaylanParagrafYazTipi"/>
    <w:link w:val="stBilgi"/>
    <w:uiPriority w:val="99"/>
    <w:rsid w:val="0069219E"/>
    <w:rPr>
      <w:kern w:val="0"/>
      <w14:ligatures w14:val="none"/>
    </w:rPr>
  </w:style>
  <w:style w:type="paragraph" w:customStyle="1" w:styleId="Default">
    <w:name w:val="Default"/>
    <w:rsid w:val="009323E8"/>
    <w:pPr>
      <w:autoSpaceDE w:val="0"/>
      <w:autoSpaceDN w:val="0"/>
      <w:adjustRightInd w:val="0"/>
      <w:spacing w:after="0" w:line="240" w:lineRule="auto"/>
    </w:pPr>
    <w:rPr>
      <w:rFonts w:ascii="CamberW04-Regular" w:hAnsi="CamberW04-Regular" w:cs="CamberW04-Regular"/>
      <w:color w:val="000000"/>
      <w:kern w:val="0"/>
      <w:sz w:val="24"/>
      <w:szCs w:val="24"/>
    </w:rPr>
  </w:style>
  <w:style w:type="character" w:styleId="zlenenKpr">
    <w:name w:val="FollowedHyperlink"/>
    <w:basedOn w:val="VarsaylanParagrafYazTipi"/>
    <w:uiPriority w:val="99"/>
    <w:semiHidden/>
    <w:unhideWhenUsed/>
    <w:rsid w:val="00C3173D"/>
    <w:rPr>
      <w:color w:val="954F72" w:themeColor="followedHyperlink"/>
      <w:u w:val="single"/>
    </w:rPr>
  </w:style>
  <w:style w:type="paragraph" w:customStyle="1" w:styleId="list-item">
    <w:name w:val="list-item"/>
    <w:basedOn w:val="Normal"/>
    <w:rsid w:val="00AF181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E5D37"/>
    <w:rPr>
      <w:b/>
      <w:bCs/>
    </w:rPr>
  </w:style>
  <w:style w:type="character" w:customStyle="1" w:styleId="UnresolvedMention">
    <w:name w:val="Unresolved Mention"/>
    <w:basedOn w:val="VarsaylanParagrafYazTipi"/>
    <w:uiPriority w:val="99"/>
    <w:semiHidden/>
    <w:unhideWhenUsed/>
    <w:rsid w:val="00CB6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8202">
      <w:bodyDiv w:val="1"/>
      <w:marLeft w:val="0"/>
      <w:marRight w:val="0"/>
      <w:marTop w:val="0"/>
      <w:marBottom w:val="0"/>
      <w:divBdr>
        <w:top w:val="none" w:sz="0" w:space="0" w:color="auto"/>
        <w:left w:val="none" w:sz="0" w:space="0" w:color="auto"/>
        <w:bottom w:val="none" w:sz="0" w:space="0" w:color="auto"/>
        <w:right w:val="none" w:sz="0" w:space="0" w:color="auto"/>
      </w:divBdr>
    </w:div>
    <w:div w:id="1265454786">
      <w:bodyDiv w:val="1"/>
      <w:marLeft w:val="0"/>
      <w:marRight w:val="0"/>
      <w:marTop w:val="0"/>
      <w:marBottom w:val="0"/>
      <w:divBdr>
        <w:top w:val="none" w:sz="0" w:space="0" w:color="auto"/>
        <w:left w:val="none" w:sz="0" w:space="0" w:color="auto"/>
        <w:bottom w:val="none" w:sz="0" w:space="0" w:color="auto"/>
        <w:right w:val="none" w:sz="0" w:space="0" w:color="auto"/>
      </w:divBdr>
    </w:div>
    <w:div w:id="1279027031">
      <w:bodyDiv w:val="1"/>
      <w:marLeft w:val="0"/>
      <w:marRight w:val="0"/>
      <w:marTop w:val="0"/>
      <w:marBottom w:val="0"/>
      <w:divBdr>
        <w:top w:val="none" w:sz="0" w:space="0" w:color="auto"/>
        <w:left w:val="none" w:sz="0" w:space="0" w:color="auto"/>
        <w:bottom w:val="none" w:sz="0" w:space="0" w:color="auto"/>
        <w:right w:val="none" w:sz="0" w:space="0" w:color="auto"/>
      </w:divBdr>
      <w:divsChild>
        <w:div w:id="275336027">
          <w:marLeft w:val="0"/>
          <w:marRight w:val="0"/>
          <w:marTop w:val="0"/>
          <w:marBottom w:val="0"/>
          <w:divBdr>
            <w:top w:val="none" w:sz="0" w:space="0" w:color="auto"/>
            <w:left w:val="none" w:sz="0" w:space="0" w:color="auto"/>
            <w:bottom w:val="none" w:sz="0" w:space="0" w:color="auto"/>
            <w:right w:val="none" w:sz="0" w:space="0" w:color="auto"/>
          </w:divBdr>
        </w:div>
        <w:div w:id="1125541710">
          <w:marLeft w:val="1050"/>
          <w:marRight w:val="0"/>
          <w:marTop w:val="0"/>
          <w:marBottom w:val="0"/>
          <w:divBdr>
            <w:top w:val="none" w:sz="0" w:space="0" w:color="auto"/>
            <w:left w:val="none" w:sz="0" w:space="0" w:color="auto"/>
            <w:bottom w:val="none" w:sz="0" w:space="0" w:color="auto"/>
            <w:right w:val="none" w:sz="0" w:space="0" w:color="auto"/>
          </w:divBdr>
          <w:divsChild>
            <w:div w:id="1754278590">
              <w:marLeft w:val="0"/>
              <w:marRight w:val="0"/>
              <w:marTop w:val="0"/>
              <w:marBottom w:val="0"/>
              <w:divBdr>
                <w:top w:val="none" w:sz="0" w:space="0" w:color="auto"/>
                <w:left w:val="none" w:sz="0" w:space="0" w:color="auto"/>
                <w:bottom w:val="none" w:sz="0" w:space="0" w:color="auto"/>
                <w:right w:val="none" w:sz="0" w:space="0" w:color="auto"/>
              </w:divBdr>
              <w:divsChild>
                <w:div w:id="1949195360">
                  <w:marLeft w:val="0"/>
                  <w:marRight w:val="0"/>
                  <w:marTop w:val="0"/>
                  <w:marBottom w:val="150"/>
                  <w:divBdr>
                    <w:top w:val="none" w:sz="0" w:space="0" w:color="auto"/>
                    <w:left w:val="none" w:sz="0" w:space="0" w:color="auto"/>
                    <w:bottom w:val="none" w:sz="0" w:space="0" w:color="auto"/>
                    <w:right w:val="none" w:sz="0" w:space="0" w:color="auto"/>
                  </w:divBdr>
                </w:div>
                <w:div w:id="1980525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04103013">
      <w:bodyDiv w:val="1"/>
      <w:marLeft w:val="0"/>
      <w:marRight w:val="0"/>
      <w:marTop w:val="0"/>
      <w:marBottom w:val="0"/>
      <w:divBdr>
        <w:top w:val="none" w:sz="0" w:space="0" w:color="auto"/>
        <w:left w:val="none" w:sz="0" w:space="0" w:color="auto"/>
        <w:bottom w:val="none" w:sz="0" w:space="0" w:color="auto"/>
        <w:right w:val="none" w:sz="0" w:space="0" w:color="auto"/>
      </w:divBdr>
    </w:div>
    <w:div w:id="2003310288">
      <w:bodyDiv w:val="1"/>
      <w:marLeft w:val="0"/>
      <w:marRight w:val="0"/>
      <w:marTop w:val="0"/>
      <w:marBottom w:val="0"/>
      <w:divBdr>
        <w:top w:val="none" w:sz="0" w:space="0" w:color="auto"/>
        <w:left w:val="none" w:sz="0" w:space="0" w:color="auto"/>
        <w:bottom w:val="none" w:sz="0" w:space="0" w:color="auto"/>
        <w:right w:val="none" w:sz="0" w:space="0" w:color="auto"/>
      </w:divBdr>
    </w:div>
    <w:div w:id="2024429644">
      <w:bodyDiv w:val="1"/>
      <w:marLeft w:val="0"/>
      <w:marRight w:val="0"/>
      <w:marTop w:val="0"/>
      <w:marBottom w:val="0"/>
      <w:divBdr>
        <w:top w:val="none" w:sz="0" w:space="0" w:color="auto"/>
        <w:left w:val="none" w:sz="0" w:space="0" w:color="auto"/>
        <w:bottom w:val="none" w:sz="0" w:space="0" w:color="auto"/>
        <w:right w:val="none" w:sz="0" w:space="0" w:color="auto"/>
      </w:divBdr>
    </w:div>
    <w:div w:id="20535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ya.marmara.edu.tr/tbmyo/bly/Dersler/TBMYO_Bilgisayar_Mufredat_2014_2015.pdf" TargetMode="External"/><Relationship Id="rId13" Type="http://schemas.openxmlformats.org/officeDocument/2006/relationships/hyperlink" Target="https://bly-tbmyo.marmara.edu.tr/notice/bilgisayar-teknolojileri-bolumu-uzaktan-egitim-programi-uygulama-ders-programi-1" TargetMode="External"/><Relationship Id="rId18" Type="http://schemas.openxmlformats.org/officeDocument/2006/relationships/hyperlink" Target="https://avesis.marmara.edu.tr/yayin/300bb38d-be63-462e-8af2-5aca1429dc84/arama-kurtarma-operasyonlarinda-fpga-tabanli-hizlandirma-ile-termal-goruntule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yokatlas.yok.gov.tr/netler-onlisans-tablo.php?b=30131" TargetMode="External"/><Relationship Id="rId12" Type="http://schemas.openxmlformats.org/officeDocument/2006/relationships/hyperlink" Target="https://isg-tbmyo.marmara.edu.tr/akademik-kadro/ogrenci-akademik-danisma-listesi" TargetMode="External"/><Relationship Id="rId17" Type="http://schemas.openxmlformats.org/officeDocument/2006/relationships/hyperlink" Target="https://avesis.marmara.edu.tr/yayin/7017216c-5348-4c57-9dd1-02d14f2d8c4f/performance-evaluation-of-artificial-neural-network-maximum-power-point-tracking-algorithm-for-photovoltaic-panel-with-single-ended-primary-inductor-converter" TargetMode="External"/><Relationship Id="rId2" Type="http://schemas.openxmlformats.org/officeDocument/2006/relationships/numbering" Target="numbering.xml"/><Relationship Id="rId16" Type="http://schemas.openxmlformats.org/officeDocument/2006/relationships/hyperlink" Target="http://doi.org/10.3390/s242378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linkedin.com/in/bly-tbmyo/" TargetMode="External"/><Relationship Id="rId11" Type="http://schemas.openxmlformats.org/officeDocument/2006/relationships/hyperlink" Target="https://tbmyo.marmara.edu.tr/" TargetMode="External"/><Relationship Id="rId5" Type="http://schemas.openxmlformats.org/officeDocument/2006/relationships/webSettings" Target="webSettings.xml"/><Relationship Id="rId15" Type="http://schemas.openxmlformats.org/officeDocument/2006/relationships/hyperlink" Target="https://tbmyo.marmara.edu.tr/idari/komisyonlar/komisyonlar-is-akislari-ve-prosedurleri" TargetMode="External"/><Relationship Id="rId10" Type="http://schemas.openxmlformats.org/officeDocument/2006/relationships/hyperlink" Target="https://bys.marmara.edu.tr/"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armara.edu.tr/dosya/www/mevzuat/2021/mu_yonerge_basari_degerlendirme_2020_v204.02.2021.pdf?_t=1612473513" TargetMode="External"/><Relationship Id="rId14" Type="http://schemas.openxmlformats.org/officeDocument/2006/relationships/hyperlink" Target="https://mdy-tbmyo.marmara.edu.tr/notice/uzaktan-egitim-ogrencileri-yuzyuze-ders-programi-hakkind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A9A20-0F1C-4E94-88E3-4045B9C86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dc:creator>
  <cp:keywords/>
  <dc:description/>
  <cp:lastModifiedBy>SEZEN</cp:lastModifiedBy>
  <cp:revision>2</cp:revision>
  <dcterms:created xsi:type="dcterms:W3CDTF">2025-03-26T07:51:00Z</dcterms:created>
  <dcterms:modified xsi:type="dcterms:W3CDTF">2025-03-26T07:51:00Z</dcterms:modified>
</cp:coreProperties>
</file>